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sz w:val="24"/>
          <w:szCs w:val="24"/>
        </w:rPr>
      </w:pPr>
      <w:r>
        <w:rPr>
          <w:sz w:val="24"/>
          <w:szCs w:val="24"/>
          <w:lang w:eastAsia="el-GR"/>
        </w:rPr>
        <mc:AlternateContent>
          <mc:Choice Requires="wps">
            <w:drawing>
              <wp:anchor distT="0" distB="0" distL="114935" distR="114935" simplePos="0" relativeHeight="251659264" behindDoc="0" locked="0" layoutInCell="1" allowOverlap="1">
                <wp:simplePos x="0" y="0"/>
                <wp:positionH relativeFrom="column">
                  <wp:posOffset>0</wp:posOffset>
                </wp:positionH>
                <wp:positionV relativeFrom="paragraph">
                  <wp:posOffset>-68580</wp:posOffset>
                </wp:positionV>
                <wp:extent cx="2640330" cy="1137920"/>
                <wp:effectExtent l="0" t="0" r="7620" b="5080"/>
                <wp:wrapNone/>
                <wp:docPr id="2" name="Πλαίσιο κειμένου 2"/>
                <wp:cNvGraphicFramePr/>
                <a:graphic xmlns:a="http://schemas.openxmlformats.org/drawingml/2006/main">
                  <a:graphicData uri="http://schemas.microsoft.com/office/word/2010/wordprocessingShape">
                    <wps:wsp>
                      <wps:cNvSpPr txBox="1">
                        <a:spLocks noChangeArrowheads="1"/>
                      </wps:cNvSpPr>
                      <wps:spPr bwMode="auto">
                        <a:xfrm>
                          <a:off x="0" y="0"/>
                          <a:ext cx="2640330" cy="1137920"/>
                        </a:xfrm>
                        <a:prstGeom prst="rect">
                          <a:avLst/>
                        </a:prstGeom>
                        <a:solidFill>
                          <a:srgbClr val="FFFFFF"/>
                        </a:solidFill>
                        <a:ln>
                          <a:noFill/>
                        </a:ln>
                        <a:effectLst/>
                      </wps:spPr>
                      <wps:txbx>
                        <w:txbxContent>
                          <w:p>
                            <w:pPr>
                              <w:spacing w:after="0" w:line="240" w:lineRule="auto"/>
                              <w:jc w:val="center"/>
                              <w:rPr>
                                <w:color w:val="4F81BD"/>
                              </w:rPr>
                            </w:pPr>
                            <w:r>
                              <w:rPr>
                                <w:color w:val="333399"/>
                                <w:sz w:val="24"/>
                                <w:szCs w:val="24"/>
                                <w:lang w:eastAsia="el-GR"/>
                              </w:rPr>
                              <w:drawing>
                                <wp:inline distT="0" distB="0" distL="0" distR="0">
                                  <wp:extent cx="400050" cy="400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l="-621" t="-621" r="-621" b="-621"/>
                                          <a:stretch>
                                            <a:fillRect/>
                                          </a:stretch>
                                        </pic:blipFill>
                                        <pic:spPr>
                                          <a:xfrm>
                                            <a:off x="0" y="0"/>
                                            <a:ext cx="400050" cy="400050"/>
                                          </a:xfrm>
                                          <a:prstGeom prst="rect">
                                            <a:avLst/>
                                          </a:prstGeom>
                                          <a:solidFill>
                                            <a:srgbClr val="FFFFFF"/>
                                          </a:solidFill>
                                          <a:ln>
                                            <a:noFill/>
                                          </a:ln>
                                        </pic:spPr>
                                      </pic:pic>
                                    </a:graphicData>
                                  </a:graphic>
                                </wp:inline>
                              </w:drawing>
                            </w:r>
                          </w:p>
                          <w:p>
                            <w:pPr>
                              <w:spacing w:after="0" w:line="240" w:lineRule="auto"/>
                              <w:jc w:val="center"/>
                            </w:pPr>
                            <w:r>
                              <w:rPr>
                                <w:color w:val="4F81BD"/>
                              </w:rPr>
                              <w:t>ΕΛΛΗΝΙΚΗ ΔΗΜΟΚΡΑΤΙΑ</w:t>
                            </w:r>
                          </w:p>
                          <w:p>
                            <w:pPr>
                              <w:spacing w:after="0" w:line="240" w:lineRule="auto"/>
                              <w:jc w:val="center"/>
                            </w:pPr>
                            <w:r>
                              <w:rPr>
                                <w:color w:val="4F81BD"/>
                              </w:rPr>
                              <w:t>ΥΠΟΥΡΓΕΙΟ ΠΟΛΙΤΙΣΜΟΥ ΚΑΙ ΑΘΛΗΤΙΣΜΟΥ</w:t>
                            </w:r>
                          </w:p>
                          <w:p>
                            <w:pPr>
                              <w:spacing w:after="0" w:line="240" w:lineRule="auto"/>
                              <w:jc w:val="center"/>
                              <w:rPr>
                                <w:lang w:val="en-US"/>
                              </w:rPr>
                            </w:pPr>
                            <w:r>
                              <w:rPr>
                                <w:color w:val="4F81BD"/>
                                <w:sz w:val="20"/>
                                <w:szCs w:val="20"/>
                              </w:rPr>
                              <w:t>ΓΡΑΦΕΙΟ ΤΥΠΟΥ</w:t>
                            </w:r>
                          </w:p>
                          <w:p>
                            <w:pPr>
                              <w:spacing w:after="0" w:line="240" w:lineRule="auto"/>
                              <w:jc w:val="center"/>
                            </w:pPr>
                            <w:r>
                              <w:rPr>
                                <w:color w:val="4F81BD"/>
                                <w:sz w:val="20"/>
                                <w:szCs w:val="20"/>
                              </w:rPr>
                              <w:t>------</w:t>
                            </w:r>
                          </w:p>
                        </w:txbxContent>
                      </wps:txbx>
                      <wps:bodyPr rot="0" vert="horz" wrap="square" lIns="2540" tIns="2540" rIns="2540" bIns="2540" anchor="t" anchorCtr="0" upright="1">
                        <a:noAutofit/>
                      </wps:bodyPr>
                    </wps:wsp>
                  </a:graphicData>
                </a:graphic>
              </wp:anchor>
            </w:drawing>
          </mc:Choice>
          <mc:Fallback>
            <w:pict>
              <v:shape id="Πλαίσιο κειμένου 2" o:spid="_x0000_s1026" o:spt="202" type="#_x0000_t202" style="position:absolute;left:0pt;margin-left:0pt;margin-top:-5.4pt;height:89.6pt;width:207.9pt;z-index:251659264;mso-width-relative:page;mso-height-relative:page;" fillcolor="#FFFFFF" filled="t" stroked="f" coordsize="21600,21600" o:gfxdata="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bG/IdgAAAAIAQAADwAAAAAAAAABACAAAAAiAAAAZHJzL2Rvd25yZXYueG1sUEsBAhQAFAAA&#10;AAgAh07iQLMBgzYoAgAAEQQAAA4AAAAAAAAAAQAgAAAAJwEAAGRycy9lMm9Eb2MueG1sUEsFBgAA&#10;AAAGAAYAWQEAAMEFAAAAAA==&#10;">
                <v:fill on="t" focussize="0,0"/>
                <v:stroke on="f"/>
                <v:imagedata o:title=""/>
                <o:lock v:ext="edit" aspectratio="f"/>
                <v:textbox inset="0.2pt,0.2pt,0.2pt,0.2pt">
                  <w:txbxContent>
                    <w:p>
                      <w:pPr>
                        <w:spacing w:after="0" w:line="240" w:lineRule="auto"/>
                        <w:jc w:val="center"/>
                        <w:rPr>
                          <w:color w:val="4F81BD"/>
                        </w:rPr>
                      </w:pPr>
                      <w:r>
                        <w:rPr>
                          <w:color w:val="333399"/>
                          <w:sz w:val="24"/>
                          <w:szCs w:val="24"/>
                          <w:lang w:eastAsia="el-GR"/>
                        </w:rPr>
                        <w:drawing>
                          <wp:inline distT="0" distB="0" distL="0" distR="0">
                            <wp:extent cx="400050" cy="400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l="-621" t="-621" r="-621" b="-621"/>
                                    <a:stretch>
                                      <a:fillRect/>
                                    </a:stretch>
                                  </pic:blipFill>
                                  <pic:spPr>
                                    <a:xfrm>
                                      <a:off x="0" y="0"/>
                                      <a:ext cx="400050" cy="400050"/>
                                    </a:xfrm>
                                    <a:prstGeom prst="rect">
                                      <a:avLst/>
                                    </a:prstGeom>
                                    <a:solidFill>
                                      <a:srgbClr val="FFFFFF"/>
                                    </a:solidFill>
                                    <a:ln>
                                      <a:noFill/>
                                    </a:ln>
                                  </pic:spPr>
                                </pic:pic>
                              </a:graphicData>
                            </a:graphic>
                          </wp:inline>
                        </w:drawing>
                      </w:r>
                    </w:p>
                    <w:p>
                      <w:pPr>
                        <w:spacing w:after="0" w:line="240" w:lineRule="auto"/>
                        <w:jc w:val="center"/>
                      </w:pPr>
                      <w:r>
                        <w:rPr>
                          <w:color w:val="4F81BD"/>
                        </w:rPr>
                        <w:t>ΕΛΛΗΝΙΚΗ ΔΗΜΟΚΡΑΤΙΑ</w:t>
                      </w:r>
                    </w:p>
                    <w:p>
                      <w:pPr>
                        <w:spacing w:after="0" w:line="240" w:lineRule="auto"/>
                        <w:jc w:val="center"/>
                      </w:pPr>
                      <w:r>
                        <w:rPr>
                          <w:color w:val="4F81BD"/>
                        </w:rPr>
                        <w:t>ΥΠΟΥΡΓΕΙΟ ΠΟΛΙΤΙΣΜΟΥ ΚΑΙ ΑΘΛΗΤΙΣΜΟΥ</w:t>
                      </w:r>
                    </w:p>
                    <w:p>
                      <w:pPr>
                        <w:spacing w:after="0" w:line="240" w:lineRule="auto"/>
                        <w:jc w:val="center"/>
                        <w:rPr>
                          <w:lang w:val="en-US"/>
                        </w:rPr>
                      </w:pPr>
                      <w:r>
                        <w:rPr>
                          <w:color w:val="4F81BD"/>
                          <w:sz w:val="20"/>
                          <w:szCs w:val="20"/>
                        </w:rPr>
                        <w:t>ΓΡΑΦΕΙΟ ΤΥΠΟΥ</w:t>
                      </w:r>
                    </w:p>
                    <w:p>
                      <w:pPr>
                        <w:spacing w:after="0" w:line="240" w:lineRule="auto"/>
                        <w:jc w:val="center"/>
                      </w:pPr>
                      <w:r>
                        <w:rPr>
                          <w:color w:val="4F81BD"/>
                          <w:sz w:val="20"/>
                          <w:szCs w:val="20"/>
                        </w:rPr>
                        <w:t>------</w:t>
                      </w:r>
                    </w:p>
                  </w:txbxContent>
                </v:textbox>
              </v:shape>
            </w:pict>
          </mc:Fallback>
        </mc:AlternateContent>
      </w:r>
    </w:p>
    <w:p>
      <w:pPr>
        <w:spacing w:after="0" w:line="240" w:lineRule="auto"/>
        <w:rPr>
          <w:sz w:val="24"/>
          <w:szCs w:val="24"/>
        </w:rPr>
      </w:pPr>
      <w:r>
        <w:rPr>
          <w:rFonts w:cs="Calibri"/>
          <w:color w:val="FF0000"/>
          <w:sz w:val="24"/>
          <w:szCs w:val="24"/>
        </w:rPr>
        <w:t xml:space="preserve"> </w:t>
      </w:r>
    </w:p>
    <w:p>
      <w:pPr>
        <w:spacing w:after="0" w:line="240" w:lineRule="auto"/>
        <w:ind w:left="-284"/>
        <w:jc w:val="center"/>
        <w:rPr>
          <w:color w:val="FF0000"/>
          <w:sz w:val="24"/>
          <w:szCs w:val="24"/>
        </w:rPr>
      </w:pPr>
    </w:p>
    <w:p>
      <w:pPr>
        <w:spacing w:before="60" w:after="0" w:line="240" w:lineRule="auto"/>
        <w:jc w:val="center"/>
        <w:rPr>
          <w:color w:val="FF0000"/>
          <w:sz w:val="24"/>
          <w:szCs w:val="24"/>
        </w:rPr>
      </w:pPr>
    </w:p>
    <w:p>
      <w:pPr>
        <w:spacing w:after="0" w:line="240" w:lineRule="auto"/>
        <w:jc w:val="center"/>
        <w:rPr>
          <w:color w:val="FF0000"/>
          <w:sz w:val="24"/>
          <w:szCs w:val="24"/>
        </w:rPr>
      </w:pPr>
    </w:p>
    <w:p>
      <w:pPr>
        <w:spacing w:after="0" w:line="240" w:lineRule="auto"/>
        <w:jc w:val="center"/>
        <w:rPr>
          <w:color w:val="FF0000"/>
          <w:sz w:val="24"/>
          <w:szCs w:val="24"/>
          <w:lang w:val="el-GR" w:eastAsia="el-GR"/>
        </w:rPr>
      </w:pPr>
    </w:p>
    <w:p>
      <w:pPr>
        <w:spacing w:after="0" w:line="240" w:lineRule="auto"/>
        <w:rPr>
          <w:color w:val="FF0000"/>
          <w:sz w:val="24"/>
          <w:szCs w:val="24"/>
          <w:lang w:val="el-GR" w:eastAsia="el-GR"/>
        </w:rPr>
      </w:pPr>
    </w:p>
    <w:p>
      <w:pPr>
        <w:spacing w:after="0" w:line="240" w:lineRule="auto"/>
        <w:jc w:val="center"/>
        <w:rPr>
          <w:color w:val="FF0000"/>
          <w:sz w:val="24"/>
          <w:szCs w:val="24"/>
          <w:lang w:val="el-GR" w:eastAsia="el-GR"/>
        </w:rPr>
      </w:pPr>
    </w:p>
    <w:p>
      <w:pPr>
        <w:rPr>
          <w:sz w:val="24"/>
          <w:szCs w:val="24"/>
        </w:rPr>
      </w:pPr>
      <w:r>
        <w:rPr>
          <w:sz w:val="24"/>
          <w:szCs w:val="24"/>
        </w:rPr>
        <w:tab/>
      </w:r>
      <w:r>
        <w:rPr>
          <w:sz w:val="24"/>
          <w:szCs w:val="24"/>
        </w:rPr>
        <w:tab/>
      </w:r>
      <w:r>
        <w:rPr>
          <w:sz w:val="24"/>
          <w:szCs w:val="24"/>
        </w:rPr>
        <w:tab/>
      </w:r>
    </w:p>
    <w:p>
      <w:pPr>
        <w:pStyle w:val="2"/>
        <w:ind w:left="0" w:firstLine="0"/>
        <w:jc w:val="right"/>
        <w:rPr>
          <w:sz w:val="24"/>
          <w:szCs w:val="24"/>
        </w:rPr>
      </w:pPr>
      <w:r>
        <w:rPr>
          <w:rFonts w:cs="Calibri"/>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ab/>
      </w:r>
      <w:r>
        <w:rPr>
          <w:sz w:val="24"/>
          <w:szCs w:val="24"/>
        </w:rPr>
        <w:t xml:space="preserve"> Αθήνα, </w:t>
      </w:r>
      <w:r>
        <w:rPr>
          <w:sz w:val="24"/>
          <w:szCs w:val="24"/>
          <w:lang w:val="en-US"/>
        </w:rPr>
        <w:t>9</w:t>
      </w:r>
      <w:r>
        <w:rPr>
          <w:sz w:val="24"/>
          <w:szCs w:val="24"/>
        </w:rPr>
        <w:t xml:space="preserve"> Νοεμβρίου 2018</w:t>
      </w:r>
    </w:p>
    <w:p>
      <w:pPr>
        <w:pStyle w:val="2"/>
        <w:ind w:left="0" w:firstLine="0"/>
        <w:jc w:val="right"/>
        <w:rPr>
          <w:sz w:val="24"/>
          <w:szCs w:val="24"/>
          <w:lang w:eastAsia="en-US"/>
        </w:rPr>
      </w:pPr>
    </w:p>
    <w:p>
      <w:pPr>
        <w:pStyle w:val="6"/>
        <w:jc w:val="center"/>
        <w:rPr>
          <w:rFonts w:ascii="Calibri" w:hAnsi="Calibri" w:cs="Calibri"/>
          <w:sz w:val="28"/>
          <w:szCs w:val="28"/>
        </w:rPr>
      </w:pPr>
      <w:r>
        <w:rPr>
          <w:rFonts w:ascii="Calibri" w:hAnsi="Calibri" w:eastAsia="Calibri" w:cs="Calibri"/>
          <w:b/>
          <w:bCs/>
          <w:sz w:val="28"/>
          <w:szCs w:val="28"/>
          <w:lang w:eastAsia="en-US"/>
        </w:rPr>
        <w:t>ΔΕΛΤΙΟ ΤΥΠΟΥ</w:t>
      </w:r>
    </w:p>
    <w:p>
      <w:pPr>
        <w:jc w:val="center"/>
        <w:rPr>
          <w:b/>
          <w:sz w:val="24"/>
          <w:szCs w:val="24"/>
        </w:rPr>
      </w:pPr>
      <w:r>
        <w:rPr>
          <w:b/>
          <w:sz w:val="24"/>
          <w:szCs w:val="24"/>
          <w:lang w:val="el-GR"/>
        </w:rPr>
        <w:t>Το Υπουργείο Πολιτισμού και Αθλητισμού κατέθεσε στο δικαστήριο «Οδικό Χάρτη» και προϋπολογισμό για τη λειτουργία του Θεατρικού Μουσείου</w:t>
      </w:r>
    </w:p>
    <w:p>
      <w:pPr>
        <w:jc w:val="both"/>
        <w:rPr>
          <w:sz w:val="24"/>
          <w:szCs w:val="24"/>
        </w:rPr>
      </w:pPr>
    </w:p>
    <w:p>
      <w:pPr>
        <w:jc w:val="both"/>
        <w:rPr>
          <w:sz w:val="22"/>
          <w:szCs w:val="22"/>
        </w:rPr>
      </w:pPr>
      <w:r>
        <w:rPr>
          <w:sz w:val="22"/>
          <w:szCs w:val="22"/>
        </w:rPr>
        <w:t>Υπέρ της αναβολής πέντε μηνών για την εκδίκαση των οφειλών του Θεατρικού Μουσείου προς τον ΕΦΚΑ συνηγόρησε σήμερα το πρωί (09-11-2018) το Υπουργείο Πολιτισμού και Αθλητισμού ενώπιον του Δ</w:t>
      </w:r>
      <w:r>
        <w:rPr>
          <w:rFonts w:hint="default"/>
          <w:sz w:val="22"/>
          <w:szCs w:val="22"/>
          <w:lang w:val="el-GR"/>
        </w:rPr>
        <w:t>’</w:t>
      </w:r>
      <w:r>
        <w:rPr>
          <w:sz w:val="22"/>
          <w:szCs w:val="22"/>
        </w:rPr>
        <w:t xml:space="preserve"> Τριμελούς Πλημμελειοδικείου Αθηνών όπου δικάζονταν σε δεύτερο βαθμό για χρέη προς το </w:t>
      </w:r>
      <w:r>
        <w:rPr>
          <w:sz w:val="22"/>
          <w:szCs w:val="22"/>
          <w:lang w:val="el-GR"/>
        </w:rPr>
        <w:t>Δ</w:t>
      </w:r>
      <w:r>
        <w:rPr>
          <w:sz w:val="22"/>
          <w:szCs w:val="22"/>
        </w:rPr>
        <w:t>ημόσιο,  ο Πρόεδρος και ο Αντιπρόεδρος του Σωματείου Κέντρο Μελέτης και Έρευνας Ελληνικού Θεάτρου</w:t>
      </w:r>
      <w:r>
        <w:rPr>
          <w:sz w:val="22"/>
          <w:szCs w:val="22"/>
          <w:lang w:val="el-GR"/>
        </w:rPr>
        <w:t xml:space="preserve"> –</w:t>
      </w:r>
      <w:r>
        <w:rPr>
          <w:sz w:val="22"/>
          <w:szCs w:val="22"/>
        </w:rPr>
        <w:t xml:space="preserve"> Θεατρικό Μουσείο, Κώστας Γεωργουσόπουλος και Γιώργος Μιχαλακόπουλος.</w:t>
      </w:r>
    </w:p>
    <w:p>
      <w:pPr>
        <w:jc w:val="both"/>
        <w:rPr>
          <w:sz w:val="22"/>
          <w:szCs w:val="22"/>
        </w:rPr>
      </w:pPr>
      <w:r>
        <w:rPr>
          <w:sz w:val="22"/>
          <w:szCs w:val="22"/>
        </w:rPr>
        <w:t>Το Υπουργείο Πολιτισμού και Αθλητισμού  αιτιολόγησε το αίτημά του καταθέτοντας στο δικαστήριο «Οδικό Χάρτη» με βήματα που θα ακολουθήσει, ο οποίος παρουσιάζει αναλυτικά α) τις Οικονομικές υποχρεώσεις του Θεατρικού Μουσείου β) τα Δεδομένα που απαιτείται να συνεκτιμηθούν και τους ελέγχους που είναι απαραίτητοι προκειμένου το ΥΠΠΟΑ να αποφασίσει τις συγκεκριμένες ενέργειες στις οποίες θα κατευθύνει την παρέμβασή του (οικονομικός έλεγχος των χρήσεων 2009-2013, νομικός έλεγχος της ακίνητης περιουσίας του ΘΜ, συγκρότηση και Έκθεση Επιτροπής Εμπειρογνωμόνων για τη συλλογή του ΘΜ, έλεγχος του Καταστατικού του κ.ά.) και γ) τα κονδύλια που θα χρειαστούν για τη διάσωση, τη συντήρηση και τη μετεγκατάσταση της συλλογής του Θεατρικού Μουσείου (έκθεση σκοπιμότητας, μουσειολογική και μουσειογραφική μελέτη, ψηφιοποίηση, συντήρηση εκθεμάτων κ.ο.κ. ), καθώς και για την ανακαίνιση-ανακατασκευή κτιρίου και την ετήσια λειτουργία του μουσείου.</w:t>
      </w:r>
    </w:p>
    <w:p>
      <w:pPr>
        <w:jc w:val="both"/>
        <w:rPr>
          <w:sz w:val="22"/>
          <w:szCs w:val="22"/>
        </w:rPr>
      </w:pPr>
      <w:r>
        <w:rPr>
          <w:sz w:val="22"/>
          <w:szCs w:val="22"/>
        </w:rPr>
        <w:t>Σύμφωνα με τον «Οδικό Χάρτη» του Υπουργείου Πολιτισμού, το Θεατρικό Μουσείο έχει επιχορηγηθεί κατά το διάστημα 2007-2013 με το ποσό των 1.730.000 ευρώ. Το σύνολο των οφειλών του Θεατρικού Μουσείου προς τους εργαζόμενους, το Δημόσιο και προς τρίτους (τον ιδιοκτήτη του χώρου όπου φυλασσόταν η βιβλιοθήκη του μέχρι να φιλοξενηθεί σε αποθήκες της ΕΡΤ) ανέρχεται στα 1.893.000 ευρώ. Η δαπάνη για την ανακαίνιση και την ανακατασκευή του κτιρίου που θα μπορεί να το στεγάσει εκτιμάται ότι μαζί με τις δαπάνες για τις σχετικές μελέτες και την συντήρηση και ψηφιοποίηση του μουσειακού υλικού και τον εξοπλισμό, θα αγγίξει τα 10.770.000 εκατομμύρια ευρώ και το λειτουργικό κόστος υπολογίζεται στα 600.000 τον χρόνο.</w:t>
      </w:r>
    </w:p>
    <w:p>
      <w:pPr>
        <w:jc w:val="both"/>
        <w:rPr>
          <w:sz w:val="22"/>
          <w:szCs w:val="22"/>
        </w:rPr>
      </w:pPr>
      <w:r>
        <w:rPr>
          <w:sz w:val="22"/>
          <w:szCs w:val="22"/>
        </w:rPr>
        <w:t xml:space="preserve">Το Υπουργείο Πολιτισμού και Αθλητισμού έχει αποφασίσει να προχωρήσει στην αναζήτηση ρεαλιστικού σχεδίου για το Θεατρικό Μουσείο και για τους ανθρώπους που δούλεψαν </w:t>
      </w:r>
      <w:r>
        <w:rPr>
          <w:i/>
          <w:sz w:val="22"/>
          <w:szCs w:val="22"/>
        </w:rPr>
        <w:t>σε</w:t>
      </w:r>
      <w:r>
        <w:rPr>
          <w:sz w:val="22"/>
          <w:szCs w:val="22"/>
        </w:rPr>
        <w:t xml:space="preserve"> αυτό και </w:t>
      </w:r>
      <w:r>
        <w:rPr>
          <w:i/>
          <w:sz w:val="22"/>
          <w:szCs w:val="22"/>
        </w:rPr>
        <w:t>για</w:t>
      </w:r>
      <w:r>
        <w:rPr>
          <w:sz w:val="22"/>
          <w:szCs w:val="22"/>
        </w:rPr>
        <w:t xml:space="preserve"> αυτό. Επιθυμεί να διασώσει τη συλλογή του, τα βιβλία, τα θεατρικά προγράμματα, το ίχνος που άφησε το ελληνικό θέατρο στον Τύπο τους τελευταίους δυο αιώνες, τις φωτογραφίες από τις παραστάσεις, τα κοστούμια των πρωταγωνιστών. Σε μια εποχή ψηφιακή το ΥΠΠΟΑ νοιάζεται για τα τεκμήρια και για την αύρα της θεατρικής ζωής. Ταυτόχρονα, ωστόσο, το ΥΠΠΟΑ είναι υποχρεωμένο να διασφαλίσει ότι όλοι οι φορείς που εποπτεύει λειτουργούν με όρους βιωσιμότητας, είναι προσβάσιμοι σε όλους, και έχουν ενεργό ρόλο στον πολιτισμικό χάρτη του τόπου. Γι’ αυτό θεωρεί απαραίτητη τη διατύπωση ενός «Επιχειρησιακού Σχεδίου», ως προϋπόθεση των αποφάσεων που πρέπει να ληφθούν.  </w:t>
      </w:r>
    </w:p>
    <w:p>
      <w:pPr>
        <w:jc w:val="both"/>
        <w:rPr>
          <w:sz w:val="22"/>
          <w:szCs w:val="22"/>
        </w:rPr>
      </w:pPr>
    </w:p>
    <w:p>
      <w:pPr>
        <w:jc w:val="both"/>
        <w:rPr>
          <w:sz w:val="22"/>
          <w:szCs w:val="22"/>
        </w:rPr>
      </w:pPr>
    </w:p>
    <w:p>
      <w:pPr>
        <w:jc w:val="center"/>
        <w:rPr>
          <w:rFonts w:eastAsia="Times New Roman" w:cs="Times New Roman"/>
          <w:b/>
          <w:color w:val="000000" w:themeColor="text1"/>
          <w:sz w:val="22"/>
          <w:szCs w:val="22"/>
          <w:lang w:eastAsia="el-GR"/>
        </w:rPr>
      </w:pPr>
      <w:r>
        <w:rPr>
          <w:rFonts w:eastAsia="Times New Roman" w:cs="Times New Roman"/>
          <w:b/>
          <w:color w:val="000000" w:themeColor="text1"/>
          <w:sz w:val="22"/>
          <w:szCs w:val="22"/>
          <w:lang w:eastAsia="el-GR"/>
        </w:rPr>
        <w:t>ΘΕΑΤΡΙΚΟ ΜΟΥΣΕΙΟ (ΘΜ)</w:t>
      </w:r>
    </w:p>
    <w:p>
      <w:pPr>
        <w:jc w:val="center"/>
        <w:rPr>
          <w:rFonts w:eastAsia="Times New Roman" w:cs="Times New Roman"/>
          <w:b/>
          <w:color w:val="000000" w:themeColor="text1"/>
          <w:sz w:val="22"/>
          <w:szCs w:val="22"/>
          <w:lang w:eastAsia="el-GR"/>
        </w:rPr>
      </w:pPr>
      <w:r>
        <w:rPr>
          <w:rFonts w:eastAsia="Times New Roman" w:cs="Times New Roman"/>
          <w:b/>
          <w:color w:val="000000" w:themeColor="text1"/>
          <w:sz w:val="22"/>
          <w:szCs w:val="22"/>
          <w:lang w:eastAsia="el-GR"/>
        </w:rPr>
        <w:t>Οδικός χάρτης</w:t>
      </w:r>
    </w:p>
    <w:p>
      <w:pPr>
        <w:jc w:val="center"/>
        <w:rPr>
          <w:rFonts w:eastAsia="Times New Roman" w:cs="Times New Roman"/>
          <w:b/>
          <w:color w:val="000000" w:themeColor="text1"/>
          <w:sz w:val="22"/>
          <w:szCs w:val="22"/>
          <w:lang w:eastAsia="el-GR"/>
        </w:rPr>
      </w:pPr>
    </w:p>
    <w:p>
      <w:pPr>
        <w:jc w:val="both"/>
        <w:rPr>
          <w:rFonts w:eastAsia="Times New Roman" w:cs="Times New Roman"/>
          <w:b/>
          <w:color w:val="000000" w:themeColor="text1"/>
          <w:sz w:val="22"/>
          <w:szCs w:val="22"/>
          <w:lang w:eastAsia="el-GR"/>
        </w:rPr>
      </w:pPr>
      <w:r>
        <w:rPr>
          <w:rFonts w:eastAsia="Times New Roman" w:cs="Times New Roman"/>
          <w:b/>
          <w:color w:val="000000" w:themeColor="text1"/>
          <w:sz w:val="22"/>
          <w:szCs w:val="22"/>
          <w:lang w:eastAsia="el-GR"/>
        </w:rPr>
        <w:t>Α. ΟΙΚΟΝΟΜΙΚΕΣ ΥΠΟΧΡΕΩΣΕΙΣ ΘΜ</w:t>
      </w:r>
    </w:p>
    <w:p>
      <w:pPr>
        <w:pStyle w:val="5"/>
        <w:numPr>
          <w:ilvl w:val="0"/>
          <w:numId w:val="1"/>
        </w:numPr>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Αποζημιώσεις νυν και πρώην εργαζομένων: 770.000 ευρώ (χωρίς τους τόκους).</w:t>
      </w:r>
    </w:p>
    <w:p>
      <w:pPr>
        <w:pStyle w:val="5"/>
        <w:rPr>
          <w:rFonts w:eastAsia="Times New Roman" w:cs="Times New Roman"/>
          <w:color w:val="000000" w:themeColor="text1"/>
          <w:sz w:val="22"/>
          <w:szCs w:val="22"/>
          <w:lang w:eastAsia="el-GR"/>
        </w:rPr>
      </w:pPr>
    </w:p>
    <w:p>
      <w:pPr>
        <w:pStyle w:val="5"/>
        <w:numPr>
          <w:ilvl w:val="0"/>
          <w:numId w:val="1"/>
        </w:numPr>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ΕΦΚΑ 593.000 ευρώ + πρόστιμα 246.000 = 849.000 ευρώ.</w:t>
      </w:r>
    </w:p>
    <w:p>
      <w:pPr>
        <w:pStyle w:val="5"/>
        <w:rPr>
          <w:rFonts w:eastAsia="Times New Roman" w:cs="Times New Roman"/>
          <w:color w:val="000000" w:themeColor="text1"/>
          <w:sz w:val="22"/>
          <w:szCs w:val="22"/>
          <w:lang w:eastAsia="el-GR"/>
        </w:rPr>
      </w:pPr>
    </w:p>
    <w:p>
      <w:pPr>
        <w:pStyle w:val="5"/>
        <w:numPr>
          <w:ilvl w:val="0"/>
          <w:numId w:val="1"/>
        </w:numPr>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Οφειλές προς το Δημόσιο (ΔΟΥ), 82.000 ευρώ (κατ’ εκτίμηση).</w:t>
      </w:r>
    </w:p>
    <w:p>
      <w:pPr>
        <w:pStyle w:val="5"/>
        <w:rPr>
          <w:rFonts w:eastAsia="Times New Roman" w:cs="Times New Roman"/>
          <w:color w:val="000000" w:themeColor="text1"/>
          <w:sz w:val="22"/>
          <w:szCs w:val="22"/>
          <w:lang w:eastAsia="el-GR"/>
        </w:rPr>
      </w:pPr>
    </w:p>
    <w:p>
      <w:pPr>
        <w:pStyle w:val="5"/>
        <w:numPr>
          <w:ilvl w:val="0"/>
          <w:numId w:val="1"/>
        </w:numPr>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Ενοίκια βιβλιοθήκης, 192.000 ευρώ κατά δήλωση του νομικού συμβούλου του ΘΜ.</w:t>
      </w:r>
    </w:p>
    <w:p>
      <w:pPr>
        <w:pStyle w:val="5"/>
        <w:rPr>
          <w:rFonts w:eastAsia="Times New Roman" w:cs="Times New Roman"/>
          <w:color w:val="000000" w:themeColor="text1"/>
          <w:sz w:val="22"/>
          <w:szCs w:val="22"/>
          <w:lang w:eastAsia="el-GR"/>
        </w:rPr>
      </w:pPr>
    </w:p>
    <w:p>
      <w:pPr>
        <w:pStyle w:val="5"/>
        <w:rPr>
          <w:rFonts w:eastAsia="Times New Roman" w:cs="Times New Roman"/>
          <w:color w:val="000000" w:themeColor="text1"/>
          <w:sz w:val="22"/>
          <w:szCs w:val="22"/>
          <w:lang w:eastAsia="el-GR"/>
        </w:rPr>
      </w:pPr>
    </w:p>
    <w:p>
      <w:pPr>
        <w:pStyle w:val="5"/>
        <w:ind w:left="0"/>
        <w:rPr>
          <w:rFonts w:eastAsia="Times New Roman" w:cs="Times New Roman"/>
          <w:color w:val="000000" w:themeColor="text1"/>
          <w:sz w:val="22"/>
          <w:szCs w:val="22"/>
          <w:lang w:eastAsia="el-GR"/>
        </w:rPr>
      </w:pPr>
      <w:r>
        <w:rPr>
          <w:rFonts w:eastAsia="Times New Roman" w:cs="Times New Roman"/>
          <w:b/>
          <w:color w:val="000000" w:themeColor="text1"/>
          <w:sz w:val="22"/>
          <w:szCs w:val="22"/>
          <w:lang w:eastAsia="el-GR"/>
        </w:rPr>
        <w:t>ΣΥΝΟΛΟ οφειλών</w:t>
      </w:r>
      <w:r>
        <w:rPr>
          <w:rFonts w:eastAsia="Times New Roman" w:cs="Times New Roman"/>
          <w:color w:val="000000" w:themeColor="text1"/>
          <w:sz w:val="22"/>
          <w:szCs w:val="22"/>
          <w:lang w:eastAsia="el-GR"/>
        </w:rPr>
        <w:t xml:space="preserve"> </w:t>
      </w:r>
      <w:r>
        <w:rPr>
          <w:rFonts w:eastAsia="Times New Roman" w:cs="Times New Roman"/>
          <w:b/>
          <w:color w:val="000000" w:themeColor="text1"/>
          <w:sz w:val="22"/>
          <w:szCs w:val="22"/>
          <w:lang w:eastAsia="el-GR"/>
        </w:rPr>
        <w:t xml:space="preserve">= 1.893.000 ευρώ </w:t>
      </w:r>
    </w:p>
    <w:p>
      <w:pPr>
        <w:jc w:val="both"/>
        <w:rPr>
          <w:rFonts w:eastAsia="Times New Roman" w:cs="Times New Roman"/>
          <w:color w:val="000000" w:themeColor="text1"/>
          <w:sz w:val="22"/>
          <w:szCs w:val="22"/>
          <w:lang w:eastAsia="el-GR"/>
        </w:rPr>
      </w:pPr>
    </w:p>
    <w:p>
      <w:pPr>
        <w:jc w:val="both"/>
        <w:rPr>
          <w:rFonts w:eastAsia="Times New Roman" w:cs="Times New Roman"/>
          <w:color w:val="000000" w:themeColor="text1"/>
          <w:sz w:val="22"/>
          <w:szCs w:val="22"/>
          <w:lang w:eastAsia="el-GR"/>
        </w:rPr>
      </w:pPr>
      <w:r>
        <w:rPr>
          <w:rFonts w:eastAsia="Times New Roman" w:cs="Times New Roman"/>
          <w:b/>
          <w:color w:val="000000" w:themeColor="text1"/>
          <w:sz w:val="22"/>
          <w:szCs w:val="22"/>
          <w:lang w:eastAsia="el-GR"/>
        </w:rPr>
        <w:t>Β. ΔΕΔΟΜΕΝΑ ΠΟΥ ΣΥΝΕΚΤΙΜΩΝΤΑΙ</w:t>
      </w:r>
    </w:p>
    <w:p>
      <w:pPr>
        <w:pStyle w:val="5"/>
        <w:numPr>
          <w:ilvl w:val="0"/>
          <w:numId w:val="1"/>
        </w:numPr>
        <w:spacing w:before="240"/>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Οικονομικός έλεγχος έχει γίνει έως και το 2011, απαιτείται έλεγχος των χρήσεων 2012-2013 (εκκρεμεί).</w:t>
      </w:r>
    </w:p>
    <w:p>
      <w:pPr>
        <w:pStyle w:val="5"/>
        <w:rPr>
          <w:rFonts w:eastAsia="Times New Roman" w:cs="Times New Roman"/>
          <w:color w:val="000000" w:themeColor="text1"/>
          <w:sz w:val="22"/>
          <w:szCs w:val="22"/>
          <w:lang w:eastAsia="el-GR"/>
        </w:rPr>
      </w:pPr>
    </w:p>
    <w:p>
      <w:pPr>
        <w:pStyle w:val="5"/>
        <w:numPr>
          <w:ilvl w:val="0"/>
          <w:numId w:val="1"/>
        </w:numPr>
        <w:spacing w:before="240"/>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Έκθεση επιτροπής εμπειρογνωμόνων (εκκρεμεί).</w:t>
      </w:r>
    </w:p>
    <w:p>
      <w:pPr>
        <w:pStyle w:val="5"/>
        <w:spacing w:before="240"/>
        <w:jc w:val="both"/>
        <w:rPr>
          <w:rFonts w:eastAsia="Times New Roman" w:cs="Times New Roman"/>
          <w:color w:val="000000" w:themeColor="text1"/>
          <w:sz w:val="22"/>
          <w:szCs w:val="22"/>
          <w:lang w:eastAsia="el-GR"/>
        </w:rPr>
      </w:pPr>
    </w:p>
    <w:p>
      <w:pPr>
        <w:pStyle w:val="5"/>
        <w:numPr>
          <w:ilvl w:val="0"/>
          <w:numId w:val="1"/>
        </w:numPr>
        <w:spacing w:before="240"/>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 xml:space="preserve">Καταστατικό σωματείου. </w:t>
      </w:r>
    </w:p>
    <w:p>
      <w:pPr>
        <w:pStyle w:val="5"/>
        <w:rPr>
          <w:rFonts w:eastAsia="Times New Roman" w:cs="Times New Roman"/>
          <w:color w:val="000000" w:themeColor="text1"/>
          <w:sz w:val="22"/>
          <w:szCs w:val="22"/>
          <w:lang w:eastAsia="el-GR"/>
        </w:rPr>
      </w:pPr>
    </w:p>
    <w:p>
      <w:pPr>
        <w:pStyle w:val="5"/>
        <w:numPr>
          <w:ilvl w:val="0"/>
          <w:numId w:val="1"/>
        </w:numPr>
        <w:spacing w:before="240"/>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 xml:space="preserve">Το ΥΠΠΟΑ έδωσε επιχορήγηση το 2012 (250.000 ευρώ) και το 2013 (66.000 ευρώ). Για την περίοδο 2007-2013, το Θεατρικό Μουσείο έχει λάβει συνολικά επιχορήγηση ύψους 1.730.000 ευρώ. </w:t>
      </w:r>
    </w:p>
    <w:p>
      <w:pPr>
        <w:pStyle w:val="5"/>
        <w:spacing w:before="240"/>
        <w:jc w:val="both"/>
        <w:rPr>
          <w:rFonts w:eastAsia="Times New Roman" w:cs="Times New Roman"/>
          <w:color w:val="000000" w:themeColor="text1"/>
          <w:sz w:val="22"/>
          <w:szCs w:val="22"/>
          <w:lang w:eastAsia="el-GR"/>
        </w:rPr>
      </w:pPr>
    </w:p>
    <w:p>
      <w:pPr>
        <w:spacing w:before="240"/>
        <w:jc w:val="both"/>
        <w:rPr>
          <w:rFonts w:eastAsia="Times New Roman" w:cs="Times New Roman"/>
          <w:color w:val="000000" w:themeColor="text1"/>
          <w:sz w:val="22"/>
          <w:szCs w:val="22"/>
          <w:lang w:eastAsia="el-GR"/>
        </w:rPr>
      </w:pPr>
    </w:p>
    <w:p>
      <w:pPr>
        <w:spacing w:before="240"/>
        <w:jc w:val="both"/>
        <w:rPr>
          <w:rFonts w:eastAsia="Times New Roman" w:cs="Times New Roman"/>
          <w:b/>
          <w:color w:val="000000" w:themeColor="text1"/>
          <w:sz w:val="22"/>
          <w:szCs w:val="22"/>
          <w:lang w:eastAsia="el-GR"/>
        </w:rPr>
      </w:pPr>
      <w:r>
        <w:rPr>
          <w:rFonts w:eastAsia="Times New Roman" w:cs="Times New Roman"/>
          <w:b/>
          <w:color w:val="000000" w:themeColor="text1"/>
          <w:sz w:val="22"/>
          <w:szCs w:val="22"/>
          <w:lang w:eastAsia="el-GR"/>
        </w:rPr>
        <w:t>Γ. ΙΔΡΥΣΗ ΚΑΙ ΕΓΚΑΤΑΣΤΑΣΗ ΜΟΥΣΕΙΟΥ ΘΕΑΤΡΟΥ</w:t>
      </w: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 xml:space="preserve">Επιστημονική Έκθεση σκοπιμότητας </w:t>
      </w:r>
      <w:r>
        <w:rPr>
          <w:rFonts w:eastAsia="Times New Roman" w:cs="Times New Roman"/>
          <w:color w:val="000000" w:themeColor="text1"/>
          <w:sz w:val="22"/>
          <w:szCs w:val="22"/>
          <w:lang w:val="en-US" w:eastAsia="el-GR"/>
        </w:rPr>
        <w:t>...................................</w:t>
      </w:r>
      <w:r>
        <w:rPr>
          <w:rFonts w:eastAsia="Times New Roman" w:cs="Times New Roman"/>
          <w:color w:val="000000" w:themeColor="text1"/>
          <w:sz w:val="22"/>
          <w:szCs w:val="22"/>
          <w:lang w:eastAsia="el-GR"/>
        </w:rPr>
        <w:t>…………………………….30.000 ευρώ</w:t>
      </w:r>
    </w:p>
    <w:p>
      <w:pPr>
        <w:pStyle w:val="5"/>
        <w:jc w:val="both"/>
        <w:rPr>
          <w:rFonts w:eastAsia="Times New Roman" w:cs="Times New Roman"/>
          <w:color w:val="000000" w:themeColor="text1"/>
          <w:sz w:val="22"/>
          <w:szCs w:val="22"/>
          <w:lang w:eastAsia="el-GR"/>
        </w:rPr>
      </w:pP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 xml:space="preserve">Έκθεση εμπειρογνωμόνων και εκτίμηση περιεχομένου </w:t>
      </w:r>
      <w:r>
        <w:rPr>
          <w:rFonts w:eastAsia="Times New Roman" w:cs="Times New Roman"/>
          <w:color w:val="000000" w:themeColor="text1"/>
          <w:sz w:val="22"/>
          <w:szCs w:val="22"/>
          <w:lang w:val="en-US" w:eastAsia="el-GR"/>
        </w:rPr>
        <w:t>..................................</w:t>
      </w:r>
      <w:r>
        <w:rPr>
          <w:rFonts w:eastAsia="Times New Roman" w:cs="Times New Roman"/>
          <w:color w:val="000000" w:themeColor="text1"/>
          <w:sz w:val="22"/>
          <w:szCs w:val="22"/>
          <w:lang w:eastAsia="el-GR"/>
        </w:rPr>
        <w:t>…40.000 ευρώ</w:t>
      </w:r>
    </w:p>
    <w:p>
      <w:pPr>
        <w:pStyle w:val="5"/>
        <w:rPr>
          <w:rFonts w:eastAsia="Times New Roman" w:cs="Times New Roman"/>
          <w:color w:val="000000" w:themeColor="text1"/>
          <w:sz w:val="22"/>
          <w:szCs w:val="22"/>
          <w:lang w:eastAsia="el-GR"/>
        </w:rPr>
      </w:pP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Τροποποίηση Κανονισμού Εθνικού Θεάτρου και ίδρυση νέας διεύθυνσης</w:t>
      </w:r>
    </w:p>
    <w:p>
      <w:pPr>
        <w:pStyle w:val="5"/>
        <w:rPr>
          <w:rFonts w:eastAsia="Times New Roman" w:cs="Times New Roman"/>
          <w:color w:val="000000" w:themeColor="text1"/>
          <w:sz w:val="22"/>
          <w:szCs w:val="22"/>
          <w:lang w:eastAsia="el-GR"/>
        </w:rPr>
      </w:pP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Μουσειολογική και μουσειογραφική μελέτη</w:t>
      </w:r>
      <w:r>
        <w:rPr>
          <w:rFonts w:eastAsia="Times New Roman" w:cs="Times New Roman"/>
          <w:color w:val="000000" w:themeColor="text1"/>
          <w:sz w:val="22"/>
          <w:szCs w:val="22"/>
          <w:lang w:val="en-US" w:eastAsia="el-GR"/>
        </w:rPr>
        <w:t xml:space="preserve"> ................................</w:t>
      </w:r>
      <w:r>
        <w:rPr>
          <w:rFonts w:eastAsia="Times New Roman" w:cs="Times New Roman"/>
          <w:color w:val="000000" w:themeColor="text1"/>
          <w:sz w:val="22"/>
          <w:szCs w:val="22"/>
          <w:lang w:eastAsia="el-GR"/>
        </w:rPr>
        <w:t xml:space="preserve">………...……..700.000 εύρω </w:t>
      </w:r>
    </w:p>
    <w:p>
      <w:pPr>
        <w:pStyle w:val="5"/>
        <w:rPr>
          <w:rFonts w:eastAsia="Times New Roman" w:cs="Times New Roman"/>
          <w:color w:val="000000" w:themeColor="text1"/>
          <w:sz w:val="22"/>
          <w:szCs w:val="22"/>
          <w:lang w:eastAsia="el-GR"/>
        </w:rPr>
      </w:pP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Συντήρηση υλικού</w:t>
      </w:r>
      <w:r>
        <w:rPr>
          <w:rFonts w:eastAsia="Times New Roman" w:cs="Times New Roman"/>
          <w:color w:val="000000" w:themeColor="text1"/>
          <w:sz w:val="22"/>
          <w:szCs w:val="22"/>
          <w:lang w:val="en-US" w:eastAsia="el-GR"/>
        </w:rPr>
        <w:t xml:space="preserve"> ..............................</w:t>
      </w:r>
      <w:r>
        <w:rPr>
          <w:rFonts w:eastAsia="Times New Roman" w:cs="Times New Roman"/>
          <w:color w:val="000000" w:themeColor="text1"/>
          <w:sz w:val="22"/>
          <w:szCs w:val="22"/>
          <w:lang w:eastAsia="el-GR"/>
        </w:rPr>
        <w:t>…………………………………………………………1.000.000 ευρώ</w:t>
      </w:r>
    </w:p>
    <w:p>
      <w:pPr>
        <w:pStyle w:val="5"/>
        <w:rPr>
          <w:rFonts w:eastAsia="Times New Roman" w:cs="Times New Roman"/>
          <w:color w:val="000000" w:themeColor="text1"/>
          <w:sz w:val="22"/>
          <w:szCs w:val="22"/>
          <w:lang w:eastAsia="el-GR"/>
        </w:rPr>
      </w:pP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Ψηφιοποίηση</w:t>
      </w:r>
      <w:r>
        <w:rPr>
          <w:rFonts w:eastAsia="Times New Roman" w:cs="Times New Roman"/>
          <w:color w:val="000000" w:themeColor="text1"/>
          <w:sz w:val="22"/>
          <w:szCs w:val="22"/>
          <w:lang w:val="en-US" w:eastAsia="el-GR"/>
        </w:rPr>
        <w:t xml:space="preserve"> ..............................</w:t>
      </w:r>
      <w:r>
        <w:rPr>
          <w:rFonts w:eastAsia="Times New Roman" w:cs="Times New Roman"/>
          <w:color w:val="000000" w:themeColor="text1"/>
          <w:sz w:val="22"/>
          <w:szCs w:val="22"/>
          <w:lang w:eastAsia="el-GR"/>
        </w:rPr>
        <w:t xml:space="preserve">……………………………………………………………….1.000.000 ευρώ </w:t>
      </w:r>
    </w:p>
    <w:p>
      <w:pPr>
        <w:pStyle w:val="5"/>
        <w:rPr>
          <w:rFonts w:eastAsia="Times New Roman" w:cs="Times New Roman"/>
          <w:color w:val="000000" w:themeColor="text1"/>
          <w:sz w:val="22"/>
          <w:szCs w:val="22"/>
          <w:lang w:eastAsia="el-GR"/>
        </w:rPr>
      </w:pP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 xml:space="preserve">Μελέτη ανακαίνισης-ανακατασκευής διαθέσιμου κτηρίου 1.600 τ.μ. –Σταδίου 47– κυριότητας Εθνικού Θεάτρου </w:t>
      </w:r>
      <w:r>
        <w:rPr>
          <w:rFonts w:eastAsia="Times New Roman" w:cs="Times New Roman"/>
          <w:color w:val="000000" w:themeColor="text1"/>
          <w:sz w:val="22"/>
          <w:szCs w:val="22"/>
          <w:lang w:val="en-US" w:eastAsia="el-GR"/>
        </w:rPr>
        <w:t>....................................................</w:t>
      </w:r>
      <w:r>
        <w:rPr>
          <w:rFonts w:eastAsia="Times New Roman" w:cs="Times New Roman"/>
          <w:color w:val="000000" w:themeColor="text1"/>
          <w:sz w:val="22"/>
          <w:szCs w:val="22"/>
          <w:lang w:eastAsia="el-GR"/>
        </w:rPr>
        <w:t>………………….1.000.000 ευρώ</w:t>
      </w:r>
    </w:p>
    <w:p>
      <w:pPr>
        <w:pStyle w:val="5"/>
        <w:rPr>
          <w:rFonts w:eastAsia="Times New Roman" w:cs="Times New Roman"/>
          <w:color w:val="000000" w:themeColor="text1"/>
          <w:sz w:val="22"/>
          <w:szCs w:val="22"/>
          <w:lang w:eastAsia="el-GR"/>
        </w:rPr>
      </w:pP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Ανακαίνιση-ανακατασκευή</w:t>
      </w:r>
      <w:r>
        <w:rPr>
          <w:rFonts w:eastAsia="Times New Roman" w:cs="Times New Roman"/>
          <w:color w:val="000000" w:themeColor="text1"/>
          <w:sz w:val="22"/>
          <w:szCs w:val="22"/>
          <w:lang w:val="en-US" w:eastAsia="el-GR"/>
        </w:rPr>
        <w:t xml:space="preserve"> διαθέσιμου χώρου στη Σταδίου 47 ...................................</w:t>
      </w:r>
      <w:r>
        <w:rPr>
          <w:rFonts w:eastAsia="Times New Roman" w:cs="Times New Roman"/>
          <w:color w:val="000000" w:themeColor="text1"/>
          <w:sz w:val="22"/>
          <w:szCs w:val="22"/>
          <w:lang w:eastAsia="el-GR"/>
        </w:rPr>
        <w:t>………………………………………………………………………….…4.200.000 ευρώ</w:t>
      </w:r>
    </w:p>
    <w:p>
      <w:pPr>
        <w:pStyle w:val="5"/>
        <w:rPr>
          <w:rFonts w:eastAsia="Times New Roman" w:cs="Times New Roman"/>
          <w:color w:val="000000" w:themeColor="text1"/>
          <w:sz w:val="22"/>
          <w:szCs w:val="22"/>
          <w:lang w:eastAsia="el-GR"/>
        </w:rPr>
      </w:pP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Αλλαγή χρήσης κτηρίου</w:t>
      </w:r>
    </w:p>
    <w:p>
      <w:pPr>
        <w:pStyle w:val="5"/>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 xml:space="preserve"> </w:t>
      </w: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Εξοπλισμός</w:t>
      </w:r>
      <w:r>
        <w:rPr>
          <w:rFonts w:eastAsia="Times New Roman" w:cs="Times New Roman"/>
          <w:color w:val="000000" w:themeColor="text1"/>
          <w:sz w:val="22"/>
          <w:szCs w:val="22"/>
          <w:lang w:val="en-US" w:eastAsia="el-GR"/>
        </w:rPr>
        <w:t xml:space="preserve"> .................................</w:t>
      </w:r>
      <w:r>
        <w:rPr>
          <w:rFonts w:eastAsia="Times New Roman" w:cs="Times New Roman"/>
          <w:color w:val="000000" w:themeColor="text1"/>
          <w:sz w:val="22"/>
          <w:szCs w:val="22"/>
          <w:lang w:eastAsia="el-GR"/>
        </w:rPr>
        <w:t>…………………………………………………………………3.000.000 ευρώ</w:t>
      </w:r>
    </w:p>
    <w:p>
      <w:pPr>
        <w:pStyle w:val="5"/>
        <w:rPr>
          <w:rFonts w:eastAsia="Times New Roman" w:cs="Times New Roman"/>
          <w:b/>
          <w:color w:val="000000" w:themeColor="text1"/>
          <w:sz w:val="22"/>
          <w:szCs w:val="22"/>
          <w:lang w:eastAsia="el-GR"/>
        </w:rPr>
      </w:pPr>
    </w:p>
    <w:p>
      <w:pPr>
        <w:rPr>
          <w:rFonts w:eastAsia="Times New Roman" w:cs="Times New Roman"/>
          <w:color w:val="000000" w:themeColor="text1"/>
          <w:sz w:val="22"/>
          <w:szCs w:val="22"/>
          <w:lang w:eastAsia="el-GR"/>
        </w:rPr>
      </w:pPr>
      <w:r>
        <w:rPr>
          <w:rFonts w:eastAsia="Times New Roman" w:cs="Times New Roman"/>
          <w:b/>
          <w:color w:val="000000" w:themeColor="text1"/>
          <w:sz w:val="22"/>
          <w:szCs w:val="22"/>
          <w:lang w:eastAsia="el-GR"/>
        </w:rPr>
        <w:t xml:space="preserve">      ΣΥΝΟΛΟ</w:t>
      </w:r>
      <w:r>
        <w:rPr>
          <w:rFonts w:eastAsia="Times New Roman" w:cs="Times New Roman"/>
          <w:b/>
          <w:color w:val="000000" w:themeColor="text1"/>
          <w:sz w:val="22"/>
          <w:szCs w:val="22"/>
          <w:lang w:val="en-US" w:eastAsia="el-GR"/>
        </w:rPr>
        <w:t xml:space="preserve"> = </w:t>
      </w:r>
      <w:r>
        <w:rPr>
          <w:rFonts w:eastAsia="Times New Roman" w:cs="Times New Roman"/>
          <w:b/>
          <w:color w:val="000000" w:themeColor="text1"/>
          <w:sz w:val="22"/>
          <w:szCs w:val="22"/>
          <w:lang w:eastAsia="el-GR"/>
        </w:rPr>
        <w:t>1</w:t>
      </w:r>
      <w:r>
        <w:rPr>
          <w:rFonts w:eastAsia="Times New Roman" w:cs="Times New Roman"/>
          <w:b/>
          <w:color w:val="000000" w:themeColor="text1"/>
          <w:sz w:val="22"/>
          <w:szCs w:val="22"/>
          <w:lang w:val="en-US" w:eastAsia="el-GR"/>
        </w:rPr>
        <w:t>0</w:t>
      </w:r>
      <w:r>
        <w:rPr>
          <w:rFonts w:eastAsia="Times New Roman" w:cs="Times New Roman"/>
          <w:b/>
          <w:color w:val="000000" w:themeColor="text1"/>
          <w:sz w:val="22"/>
          <w:szCs w:val="22"/>
          <w:lang w:eastAsia="el-GR"/>
        </w:rPr>
        <w:t>.</w:t>
      </w:r>
      <w:r>
        <w:rPr>
          <w:rFonts w:eastAsia="Times New Roman" w:cs="Times New Roman"/>
          <w:b/>
          <w:color w:val="000000" w:themeColor="text1"/>
          <w:sz w:val="22"/>
          <w:szCs w:val="22"/>
          <w:lang w:val="en-US" w:eastAsia="el-GR"/>
        </w:rPr>
        <w:t>9</w:t>
      </w:r>
      <w:r>
        <w:rPr>
          <w:rFonts w:eastAsia="Times New Roman" w:cs="Times New Roman"/>
          <w:b/>
          <w:color w:val="000000" w:themeColor="text1"/>
          <w:sz w:val="22"/>
          <w:szCs w:val="22"/>
          <w:lang w:eastAsia="el-GR"/>
        </w:rPr>
        <w:t>70.000 ευρώ κατ’ εκτίμηση</w:t>
      </w:r>
      <w:bookmarkStart w:id="0" w:name="_GoBack"/>
      <w:bookmarkEnd w:id="0"/>
    </w:p>
    <w:p>
      <w:pPr>
        <w:pStyle w:val="5"/>
        <w:rPr>
          <w:rFonts w:eastAsia="Times New Roman" w:cs="Times New Roman"/>
          <w:color w:val="000000" w:themeColor="text1"/>
          <w:sz w:val="22"/>
          <w:szCs w:val="22"/>
          <w:lang w:eastAsia="el-GR"/>
        </w:rPr>
      </w:pPr>
    </w:p>
    <w:p>
      <w:pPr>
        <w:pStyle w:val="5"/>
        <w:numPr>
          <w:ilvl w:val="0"/>
          <w:numId w:val="1"/>
        </w:numPr>
        <w:jc w:val="both"/>
        <w:rPr>
          <w:rFonts w:eastAsia="Times New Roman" w:cs="Times New Roman"/>
          <w:color w:val="000000" w:themeColor="text1"/>
          <w:sz w:val="22"/>
          <w:szCs w:val="22"/>
          <w:lang w:eastAsia="el-GR"/>
        </w:rPr>
      </w:pPr>
      <w:r>
        <w:rPr>
          <w:rFonts w:eastAsia="Times New Roman" w:cs="Times New Roman"/>
          <w:color w:val="000000" w:themeColor="text1"/>
          <w:sz w:val="22"/>
          <w:szCs w:val="22"/>
          <w:lang w:eastAsia="el-GR"/>
        </w:rPr>
        <w:t>Λειτουργία του Μουσείου σε συνεργασία με το Εθνικό Θέατρο (προσωπικό, φύλαξη, κλπ) – ετησίως</w:t>
      </w:r>
      <w:r>
        <w:rPr>
          <w:rFonts w:eastAsia="Times New Roman" w:cs="Times New Roman"/>
          <w:color w:val="000000" w:themeColor="text1"/>
          <w:sz w:val="22"/>
          <w:szCs w:val="22"/>
          <w:lang w:val="en-US" w:eastAsia="el-GR"/>
        </w:rPr>
        <w:t xml:space="preserve"> ....................................................................</w:t>
      </w:r>
      <w:r>
        <w:rPr>
          <w:rFonts w:eastAsia="Times New Roman" w:cs="Times New Roman"/>
          <w:color w:val="000000" w:themeColor="text1"/>
          <w:sz w:val="22"/>
          <w:szCs w:val="22"/>
          <w:lang w:eastAsia="el-GR"/>
        </w:rPr>
        <w:t xml:space="preserve">…………………………….600.000 ευρώ </w:t>
      </w:r>
    </w:p>
    <w:p>
      <w:pPr>
        <w:pStyle w:val="5"/>
        <w:rPr>
          <w:rFonts w:eastAsia="Times New Roman" w:cs="Times New Roman"/>
          <w:color w:val="000000" w:themeColor="text1"/>
          <w:sz w:val="24"/>
          <w:szCs w:val="24"/>
          <w:lang w:eastAsia="el-GR"/>
        </w:rPr>
      </w:pPr>
    </w:p>
    <w:p>
      <w:pPr>
        <w:jc w:val="both"/>
        <w:rPr>
          <w:rFonts w:eastAsia="Times New Roman" w:cs="Times New Roman"/>
          <w:b/>
          <w:color w:val="000000" w:themeColor="text1"/>
          <w:sz w:val="24"/>
          <w:szCs w:val="24"/>
          <w:lang w:eastAsia="el-GR"/>
        </w:rPr>
      </w:pPr>
    </w:p>
    <w:p>
      <w:pPr>
        <w:rPr>
          <w:sz w:val="24"/>
          <w:szCs w:val="24"/>
        </w:rPr>
      </w:pPr>
    </w:p>
    <w:p>
      <w:pPr>
        <w:rPr>
          <w:sz w:val="24"/>
          <w:szCs w:val="24"/>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EE"/>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80"/>
    <w:family w:val="swiss"/>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C84"/>
    <w:multiLevelType w:val="multilevel"/>
    <w:tmpl w:val="08600C84"/>
    <w:lvl w:ilvl="0" w:tentative="0">
      <w:start w:val="1"/>
      <w:numFmt w:val="decimal"/>
      <w:lvlText w:val="%1."/>
      <w:lvlJc w:val="left"/>
      <w:pPr>
        <w:ind w:left="927"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21"/>
    <w:rsid w:val="00732244"/>
    <w:rsid w:val="00993621"/>
    <w:rsid w:val="00CD2974"/>
    <w:rsid w:val="050B6016"/>
    <w:rsid w:val="1B802AB8"/>
    <w:rsid w:val="412A41EF"/>
    <w:rsid w:val="59030DEA"/>
    <w:rsid w:val="5E1D676B"/>
    <w:rsid w:val="6F2D683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7"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7"/>
    <w:pPr>
      <w:ind w:left="4320" w:firstLine="720"/>
    </w:pPr>
    <w:rPr>
      <w:sz w:val="28"/>
      <w:szCs w:val="28"/>
    </w:rPr>
  </w:style>
  <w:style w:type="paragraph" w:styleId="5">
    <w:name w:val="List Paragraph"/>
    <w:basedOn w:val="1"/>
    <w:qFormat/>
    <w:uiPriority w:val="34"/>
    <w:pPr>
      <w:ind w:left="720"/>
      <w:contextualSpacing/>
    </w:pPr>
  </w:style>
  <w:style w:type="paragraph" w:customStyle="1" w:styleId="6">
    <w:name w:val="LO-normal"/>
    <w:basedOn w:val="1"/>
    <w:uiPriority w:val="2"/>
    <w:pPr>
      <w:spacing w:before="280" w:after="280" w:line="240" w:lineRule="auto"/>
    </w:pPr>
    <w:rPr>
      <w:rFonts w:ascii="Arial Unicode MS" w:hAnsi="Arial Unicode MS" w:eastAsia="Arial Unicode MS" w:cs="Arial Unicode MS"/>
      <w:sz w:val="24"/>
      <w:szCs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B99C691-AB23-4EF6-B729-921F332CFAE4}"/>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6C607B4A-3AD3-4076-B05B-FD9909A08E00}"/>
</file>

<file path=customXml/itemProps4.xml><?xml version="1.0" encoding="utf-8"?>
<ds:datastoreItem xmlns:ds="http://schemas.openxmlformats.org/officeDocument/2006/customXml" ds:itemID="{4D3F6589-562D-407A-973A-A385B8329BE9}"/>
</file>

<file path=docProps/app.xml><?xml version="1.0" encoding="utf-8"?>
<Properties xmlns="http://schemas.openxmlformats.org/officeDocument/2006/extended-properties" xmlns:vt="http://schemas.openxmlformats.org/officeDocument/2006/docPropsVTypes">
  <Template>Normal</Template>
  <Pages>4</Pages>
  <Words>740</Words>
  <Characters>4001</Characters>
  <Lines>33</Lines>
  <Paragraphs>9</Paragraphs>
  <TotalTime>12</TotalTime>
  <ScaleCrop>false</ScaleCrop>
  <LinksUpToDate>false</LinksUpToDate>
  <CharactersWithSpaces>4732</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Υπουργείο Πολιτισμού και Αθλητισμού κατέθεσε στο δικαστήριο «Οδικό Χάρτη» και προϋπολογισμό για τη λειτουργία του Θεατρικού Μουσείου</dc:title>
  <dc:creator>user</dc:creator>
  <cp:lastModifiedBy>agiannikos</cp:lastModifiedBy>
  <cp:revision>4</cp:revision>
  <dcterms:created xsi:type="dcterms:W3CDTF">2018-11-09T06:50:00Z</dcterms:created>
  <dcterms:modified xsi:type="dcterms:W3CDTF">2018-11-09T09:51:59Z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