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CB" w:rsidRPr="006B2C94" w:rsidRDefault="008D0ACB" w:rsidP="008D0ACB">
      <w:pPr>
        <w:pStyle w:val="2"/>
        <w:tabs>
          <w:tab w:val="clear" w:pos="567"/>
        </w:tabs>
        <w:ind w:left="-284" w:right="-427" w:firstLine="0"/>
        <w:rPr>
          <w:lang w:val="el-GR"/>
        </w:rPr>
      </w:pPr>
      <w:bookmarkStart w:id="0" w:name="_Toc94180368"/>
      <w:r>
        <w:rPr>
          <w:rFonts w:ascii="Calibri" w:hAnsi="Calibri"/>
          <w:lang w:val="el-GR"/>
        </w:rPr>
        <w:t xml:space="preserve">ΠΑΡΑΡΤΗΜΑ V – </w:t>
      </w:r>
      <w:r w:rsidRPr="00B62E6E">
        <w:rPr>
          <w:rFonts w:ascii="Calibri" w:hAnsi="Calibri"/>
          <w:lang w:val="el-GR"/>
        </w:rPr>
        <w:t>Πίνακας Παραδόσεων/Υπηρεσιών</w:t>
      </w:r>
      <w:bookmarkEnd w:id="0"/>
      <w:r w:rsidRPr="00B62E6E">
        <w:rPr>
          <w:rFonts w:ascii="Calibri" w:hAnsi="Calibri"/>
          <w:lang w:val="el-GR"/>
        </w:rPr>
        <w:t xml:space="preserve"> </w:t>
      </w:r>
    </w:p>
    <w:p w:rsidR="008D0ACB" w:rsidRDefault="008D0ACB" w:rsidP="008D0ACB">
      <w:pPr>
        <w:pStyle w:val="normalwithoutspacing"/>
        <w:ind w:left="-284" w:right="-427"/>
        <w:rPr>
          <w:i/>
          <w:color w:val="5B9BD5"/>
          <w:szCs w:val="22"/>
        </w:rPr>
      </w:pPr>
    </w:p>
    <w:p w:rsidR="008D0ACB" w:rsidRPr="00DA0057" w:rsidRDefault="008D0ACB" w:rsidP="008D0ACB">
      <w:pPr>
        <w:spacing w:after="0"/>
        <w:ind w:left="-284" w:right="-427"/>
        <w:rPr>
          <w:bCs/>
          <w:szCs w:val="22"/>
          <w:lang w:val="el-GR"/>
        </w:rPr>
      </w:pPr>
      <w:r w:rsidRPr="009B2E18">
        <w:rPr>
          <w:bCs/>
          <w:szCs w:val="22"/>
          <w:lang w:val="el-GR"/>
        </w:rPr>
        <w:t xml:space="preserve">Υπόδειγμα Καταλόγου των κυριότερων </w:t>
      </w:r>
      <w:r w:rsidRPr="00675688">
        <w:rPr>
          <w:bCs/>
          <w:szCs w:val="22"/>
          <w:lang w:val="el-GR"/>
        </w:rPr>
        <w:t xml:space="preserve">παραδόσεων ή των κυριότερων υπηρεσιών </w:t>
      </w:r>
      <w:r w:rsidRPr="009B2E18">
        <w:rPr>
          <w:bCs/>
          <w:szCs w:val="22"/>
          <w:lang w:val="el-GR"/>
        </w:rPr>
        <w:t xml:space="preserve">που εκτέλεσε ή στα οποία συμμετείχε ως μέλος ένωσης ο υποψήφιος Ανάδοχος κατά τα </w:t>
      </w:r>
      <w:r w:rsidRPr="00DA0057">
        <w:rPr>
          <w:bCs/>
          <w:szCs w:val="22"/>
          <w:lang w:val="el-GR"/>
        </w:rPr>
        <w:t xml:space="preserve">τελευταία </w:t>
      </w:r>
      <w:r w:rsidRPr="000C3544">
        <w:rPr>
          <w:bCs/>
          <w:szCs w:val="22"/>
          <w:lang w:val="el-GR"/>
        </w:rPr>
        <w:t>τρία (3) χρόνια πριν το έτος υποβολής</w:t>
      </w:r>
      <w:r>
        <w:rPr>
          <w:bCs/>
          <w:szCs w:val="22"/>
          <w:lang w:val="el-GR"/>
        </w:rPr>
        <w:t xml:space="preserve"> </w:t>
      </w:r>
      <w:r w:rsidRPr="000C3544">
        <w:rPr>
          <w:bCs/>
          <w:szCs w:val="22"/>
          <w:lang w:val="el-GR"/>
        </w:rPr>
        <w:t>προσφοράς (ήτοι περίοδος 201</w:t>
      </w:r>
      <w:r w:rsidR="00471982" w:rsidRPr="00471982">
        <w:rPr>
          <w:bCs/>
          <w:szCs w:val="22"/>
          <w:lang w:val="el-GR"/>
        </w:rPr>
        <w:t>9</w:t>
      </w:r>
      <w:r w:rsidR="00471982">
        <w:rPr>
          <w:bCs/>
          <w:szCs w:val="22"/>
          <w:lang w:val="el-GR"/>
        </w:rPr>
        <w:t>-2021</w:t>
      </w:r>
      <w:bookmarkStart w:id="1" w:name="_GoBack"/>
      <w:bookmarkEnd w:id="1"/>
      <w:r w:rsidRPr="000C3544">
        <w:rPr>
          <w:bCs/>
          <w:szCs w:val="22"/>
          <w:lang w:val="el-GR"/>
        </w:rPr>
        <w:t>), τα οποία είναι συναφή με τα αντικείμενα της σύμβασης σύμφωνα με τα</w:t>
      </w:r>
      <w:r>
        <w:rPr>
          <w:bCs/>
          <w:szCs w:val="22"/>
          <w:lang w:val="el-GR"/>
        </w:rPr>
        <w:t xml:space="preserve"> </w:t>
      </w:r>
      <w:r w:rsidRPr="000C3544">
        <w:rPr>
          <w:bCs/>
          <w:szCs w:val="22"/>
          <w:lang w:val="el-GR"/>
        </w:rPr>
        <w:t>ζητούμενα της παρ. 2.2.6.</w:t>
      </w:r>
      <w:r>
        <w:rPr>
          <w:bCs/>
          <w:szCs w:val="22"/>
          <w:lang w:val="el-GR"/>
        </w:rPr>
        <w:t>α</w:t>
      </w:r>
      <w:r w:rsidRPr="000C3544">
        <w:rPr>
          <w:bCs/>
          <w:szCs w:val="22"/>
          <w:lang w:val="el-GR"/>
        </w:rPr>
        <w:t xml:space="preserve"> της παρούσας Διακήρυξης. Για τη διασφάλιση ικανοποιητικού επιπέδου</w:t>
      </w:r>
      <w:r>
        <w:rPr>
          <w:bCs/>
          <w:szCs w:val="22"/>
          <w:lang w:val="el-GR"/>
        </w:rPr>
        <w:t xml:space="preserve"> </w:t>
      </w:r>
      <w:r w:rsidRPr="000C3544">
        <w:rPr>
          <w:bCs/>
          <w:szCs w:val="22"/>
          <w:lang w:val="el-GR"/>
        </w:rPr>
        <w:t xml:space="preserve">ανταγωνισμού, θα λαμβάνονται υπόψη στοιχεία σχετικών υπηρεσιών που εκτελέσθηκαν </w:t>
      </w:r>
      <w:r w:rsidRPr="00F90C63">
        <w:rPr>
          <w:bCs/>
          <w:szCs w:val="22"/>
          <w:lang w:val="el-GR"/>
        </w:rPr>
        <w:t xml:space="preserve">και </w:t>
      </w:r>
      <w:r>
        <w:rPr>
          <w:bCs/>
          <w:szCs w:val="22"/>
          <w:lang w:val="el-GR"/>
        </w:rPr>
        <w:t>έως την τελευταία</w:t>
      </w:r>
      <w:r w:rsidRPr="00F90C63">
        <w:rPr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 xml:space="preserve">8 </w:t>
      </w:r>
      <w:proofErr w:type="spellStart"/>
      <w:r>
        <w:rPr>
          <w:bCs/>
          <w:szCs w:val="22"/>
          <w:lang w:val="el-GR"/>
        </w:rPr>
        <w:t>ε</w:t>
      </w:r>
      <w:r w:rsidRPr="00F90C63">
        <w:rPr>
          <w:bCs/>
          <w:szCs w:val="22"/>
          <w:lang w:val="el-GR"/>
        </w:rPr>
        <w:t>τ</w:t>
      </w:r>
      <w:r>
        <w:rPr>
          <w:bCs/>
          <w:szCs w:val="22"/>
          <w:lang w:val="el-GR"/>
        </w:rPr>
        <w:t>ία</w:t>
      </w:r>
      <w:proofErr w:type="spellEnd"/>
      <w:r>
        <w:rPr>
          <w:bCs/>
          <w:szCs w:val="22"/>
          <w:lang w:val="el-GR"/>
        </w:rPr>
        <w:t>.</w:t>
      </w:r>
      <w:r w:rsidRPr="00F07A2C">
        <w:rPr>
          <w:bCs/>
          <w:szCs w:val="22"/>
          <w:lang w:val="el-GR"/>
        </w:rPr>
        <w:t xml:space="preserve"> </w:t>
      </w:r>
    </w:p>
    <w:p w:rsidR="008D0ACB" w:rsidRPr="009B2E18" w:rsidRDefault="008D0ACB" w:rsidP="008D0ACB">
      <w:pPr>
        <w:spacing w:after="0"/>
        <w:ind w:left="-284" w:right="-427"/>
        <w:rPr>
          <w:bCs/>
          <w:szCs w:val="22"/>
          <w:lang w:val="el-GR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1276"/>
        <w:gridCol w:w="1276"/>
        <w:gridCol w:w="1134"/>
        <w:gridCol w:w="1144"/>
        <w:gridCol w:w="1559"/>
        <w:gridCol w:w="1418"/>
        <w:gridCol w:w="1704"/>
      </w:tblGrid>
      <w:tr w:rsidR="008D0ACB" w:rsidRPr="00471982" w:rsidTr="009C5322">
        <w:trPr>
          <w:jc w:val="center"/>
        </w:trPr>
        <w:tc>
          <w:tcPr>
            <w:tcW w:w="835" w:type="dxa"/>
          </w:tcPr>
          <w:p w:rsidR="008D0ACB" w:rsidRPr="00675688" w:rsidRDefault="008D0ACB" w:rsidP="0017056C">
            <w:pPr>
              <w:spacing w:before="120"/>
              <w:ind w:left="34" w:right="-427"/>
              <w:rPr>
                <w:bCs/>
                <w:sz w:val="18"/>
                <w:szCs w:val="20"/>
              </w:rPr>
            </w:pPr>
            <w:r w:rsidRPr="00675688">
              <w:rPr>
                <w:bCs/>
                <w:sz w:val="18"/>
                <w:szCs w:val="20"/>
              </w:rPr>
              <w:t>Α/Α</w:t>
            </w:r>
          </w:p>
        </w:tc>
        <w:tc>
          <w:tcPr>
            <w:tcW w:w="1276" w:type="dxa"/>
          </w:tcPr>
          <w:p w:rsidR="008D0ACB" w:rsidRPr="00675688" w:rsidRDefault="008D0ACB" w:rsidP="0017056C">
            <w:pPr>
              <w:spacing w:before="120"/>
              <w:ind w:left="-92" w:right="-427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bCs/>
                <w:sz w:val="18"/>
                <w:szCs w:val="20"/>
                <w:lang w:val="el-GR"/>
              </w:rPr>
              <w:t>ΠΕΛΑΤΗΣ-ΧΩΡΑ</w:t>
            </w:r>
          </w:p>
          <w:p w:rsidR="008D0ACB" w:rsidRPr="00675688" w:rsidRDefault="008D0ACB" w:rsidP="0017056C">
            <w:pPr>
              <w:spacing w:before="120"/>
              <w:ind w:right="-427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bCs/>
                <w:sz w:val="18"/>
                <w:szCs w:val="20"/>
                <w:lang w:val="el-GR"/>
              </w:rPr>
              <w:t xml:space="preserve">(Δημόσιος/ </w:t>
            </w:r>
            <w:proofErr w:type="spellStart"/>
            <w:r w:rsidRPr="00675688">
              <w:rPr>
                <w:bCs/>
                <w:sz w:val="18"/>
                <w:szCs w:val="20"/>
                <w:lang w:val="el-GR"/>
              </w:rPr>
              <w:t>Ιδιωτ.Τομέας</w:t>
            </w:r>
            <w:proofErr w:type="spellEnd"/>
            <w:r w:rsidRPr="00675688">
              <w:rPr>
                <w:bCs/>
                <w:sz w:val="18"/>
                <w:szCs w:val="20"/>
                <w:lang w:val="el-GR"/>
              </w:rPr>
              <w:t>)</w:t>
            </w:r>
          </w:p>
        </w:tc>
        <w:tc>
          <w:tcPr>
            <w:tcW w:w="1276" w:type="dxa"/>
          </w:tcPr>
          <w:p w:rsidR="008D0ACB" w:rsidRPr="00675688" w:rsidRDefault="008D0ACB" w:rsidP="0017056C">
            <w:pPr>
              <w:spacing w:before="120"/>
              <w:ind w:right="-427"/>
              <w:rPr>
                <w:bCs/>
                <w:sz w:val="18"/>
                <w:szCs w:val="20"/>
              </w:rPr>
            </w:pPr>
            <w:r w:rsidRPr="00675688">
              <w:rPr>
                <w:bCs/>
                <w:sz w:val="18"/>
                <w:szCs w:val="20"/>
              </w:rPr>
              <w:t>ΑΝΤΙΚΕΙΜΕΝΟ ΣΥΜΒΑΣΗΣ</w:t>
            </w:r>
          </w:p>
        </w:tc>
        <w:tc>
          <w:tcPr>
            <w:tcW w:w="1134" w:type="dxa"/>
          </w:tcPr>
          <w:p w:rsidR="008D0ACB" w:rsidRPr="00675688" w:rsidRDefault="008D0ACB" w:rsidP="0017056C">
            <w:pPr>
              <w:spacing w:before="120"/>
              <w:ind w:right="-427"/>
              <w:rPr>
                <w:bCs/>
                <w:sz w:val="18"/>
                <w:szCs w:val="20"/>
              </w:rPr>
            </w:pPr>
            <w:r w:rsidRPr="00675688">
              <w:rPr>
                <w:bCs/>
                <w:sz w:val="18"/>
                <w:szCs w:val="20"/>
              </w:rPr>
              <w:t>ΔΙΑΡΚΕΙΑ ΣΥΜΒΑΣΗΣ</w:t>
            </w:r>
          </w:p>
          <w:p w:rsidR="008D0ACB" w:rsidRPr="00675688" w:rsidRDefault="008D0ACB" w:rsidP="0017056C">
            <w:pPr>
              <w:spacing w:before="120"/>
              <w:ind w:right="-427"/>
              <w:rPr>
                <w:bCs/>
                <w:sz w:val="18"/>
                <w:szCs w:val="20"/>
              </w:rPr>
            </w:pPr>
            <w:r w:rsidRPr="00675688">
              <w:rPr>
                <w:bCs/>
                <w:sz w:val="18"/>
                <w:szCs w:val="20"/>
              </w:rPr>
              <w:t>(από-</w:t>
            </w:r>
            <w:proofErr w:type="spellStart"/>
            <w:r w:rsidRPr="00675688">
              <w:rPr>
                <w:bCs/>
                <w:sz w:val="18"/>
                <w:szCs w:val="20"/>
              </w:rPr>
              <w:t>έως</w:t>
            </w:r>
            <w:proofErr w:type="spellEnd"/>
            <w:r w:rsidRPr="00675688">
              <w:rPr>
                <w:bCs/>
                <w:sz w:val="18"/>
                <w:szCs w:val="20"/>
              </w:rPr>
              <w:t>)</w:t>
            </w:r>
          </w:p>
        </w:tc>
        <w:tc>
          <w:tcPr>
            <w:tcW w:w="1144" w:type="dxa"/>
          </w:tcPr>
          <w:p w:rsidR="008D0ACB" w:rsidRPr="00675688" w:rsidRDefault="008D0ACB" w:rsidP="0017056C">
            <w:pPr>
              <w:spacing w:before="120"/>
              <w:ind w:left="-92"/>
              <w:rPr>
                <w:bCs/>
                <w:sz w:val="18"/>
                <w:szCs w:val="20"/>
              </w:rPr>
            </w:pPr>
            <w:r w:rsidRPr="00675688">
              <w:rPr>
                <w:bCs/>
                <w:sz w:val="18"/>
                <w:szCs w:val="20"/>
              </w:rPr>
              <w:t>ΣΥΜΒΑΤΙΚΗ ΑΞΙΑ (</w:t>
            </w:r>
            <w:proofErr w:type="spellStart"/>
            <w:r w:rsidRPr="00675688">
              <w:rPr>
                <w:bCs/>
                <w:sz w:val="18"/>
                <w:szCs w:val="20"/>
              </w:rPr>
              <w:t>σε</w:t>
            </w:r>
            <w:proofErr w:type="spellEnd"/>
            <w:r w:rsidRPr="00675688">
              <w:rPr>
                <w:bCs/>
                <w:sz w:val="18"/>
                <w:szCs w:val="20"/>
              </w:rPr>
              <w:t xml:space="preserve"> €)</w:t>
            </w:r>
          </w:p>
        </w:tc>
        <w:tc>
          <w:tcPr>
            <w:tcW w:w="1559" w:type="dxa"/>
          </w:tcPr>
          <w:p w:rsidR="008D0ACB" w:rsidRPr="00675688" w:rsidRDefault="008D0ACB" w:rsidP="009C5322">
            <w:pPr>
              <w:spacing w:before="120"/>
              <w:ind w:left="34" w:right="33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bCs/>
                <w:sz w:val="18"/>
                <w:szCs w:val="20"/>
                <w:lang w:val="el-GR"/>
              </w:rPr>
              <w:t>ΠΕΡΙΓΡΑΦΗ ΑΝΤΙΚΕΙΜΕΝΟΥ/ΠΟΣΟΣΤΟΥ ΣΥΜΜΕΤΟΧΗΣ</w:t>
            </w:r>
          </w:p>
          <w:p w:rsidR="008D0ACB" w:rsidRPr="00675688" w:rsidRDefault="008D0ACB" w:rsidP="009C5322">
            <w:pPr>
              <w:spacing w:before="120"/>
              <w:ind w:left="34" w:right="33" w:firstLine="108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bCs/>
                <w:sz w:val="18"/>
                <w:szCs w:val="20"/>
                <w:lang w:val="el-GR"/>
              </w:rPr>
              <w:t>(σε περίπτωση Ένωσης)</w:t>
            </w:r>
          </w:p>
        </w:tc>
        <w:tc>
          <w:tcPr>
            <w:tcW w:w="1418" w:type="dxa"/>
          </w:tcPr>
          <w:p w:rsidR="008D0ACB" w:rsidRDefault="008D0ACB" w:rsidP="0017056C">
            <w:pPr>
              <w:spacing w:before="120"/>
              <w:ind w:left="-103"/>
              <w:jc w:val="center"/>
              <w:rPr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 xml:space="preserve">ΣΤΟΙΧΕΙΟ ΤΕΚΜΗΡΙΩΣΗΣ ΟΛΟΚΛΗΡΩΣΗΣ  </w:t>
            </w:r>
          </w:p>
          <w:p w:rsidR="008D0ACB" w:rsidRPr="00675688" w:rsidRDefault="008D0ACB" w:rsidP="0017056C">
            <w:pPr>
              <w:spacing w:before="120"/>
              <w:ind w:left="-103"/>
              <w:jc w:val="center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>(ΤΥΠΟΣ &amp; ΗΜΕΡΟΜΗΝΙΑ)</w:t>
            </w:r>
          </w:p>
        </w:tc>
        <w:tc>
          <w:tcPr>
            <w:tcW w:w="1704" w:type="dxa"/>
          </w:tcPr>
          <w:p w:rsidR="008D0ACB" w:rsidRPr="00675688" w:rsidRDefault="008D0ACB" w:rsidP="0017056C">
            <w:pPr>
              <w:spacing w:before="120"/>
              <w:ind w:left="-103" w:right="-110"/>
              <w:jc w:val="center"/>
              <w:rPr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>ΣΤΟΙΧΕΙΟ ΤΕΚΜΗΡΙΩΣΗΣ ΑΞΙΑΣ</w:t>
            </w:r>
          </w:p>
          <w:p w:rsidR="008D0ACB" w:rsidRPr="00675688" w:rsidRDefault="008D0ACB" w:rsidP="0017056C">
            <w:pPr>
              <w:spacing w:before="120"/>
              <w:ind w:left="-103" w:right="-110"/>
              <w:jc w:val="center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>(ΤΥΠΟΣ &amp; ΗΜΕΡΟΜΗΝΙΑ)</w:t>
            </w:r>
          </w:p>
        </w:tc>
      </w:tr>
      <w:tr w:rsidR="008D0ACB" w:rsidRPr="00471982" w:rsidTr="009C5322">
        <w:trPr>
          <w:jc w:val="center"/>
        </w:trPr>
        <w:tc>
          <w:tcPr>
            <w:tcW w:w="835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Cs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Cs/>
                <w:szCs w:val="22"/>
                <w:lang w:val="el-GR"/>
              </w:rPr>
            </w:pPr>
          </w:p>
        </w:tc>
        <w:tc>
          <w:tcPr>
            <w:tcW w:w="114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418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70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</w:tr>
      <w:tr w:rsidR="008D0ACB" w:rsidRPr="00471982" w:rsidTr="009C5322">
        <w:trPr>
          <w:jc w:val="center"/>
        </w:trPr>
        <w:tc>
          <w:tcPr>
            <w:tcW w:w="835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4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418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70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</w:tr>
      <w:tr w:rsidR="008D0ACB" w:rsidRPr="00471982" w:rsidTr="009C5322">
        <w:trPr>
          <w:jc w:val="center"/>
        </w:trPr>
        <w:tc>
          <w:tcPr>
            <w:tcW w:w="835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4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418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70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</w:tr>
      <w:tr w:rsidR="008D0ACB" w:rsidRPr="00471982" w:rsidTr="009C5322">
        <w:trPr>
          <w:jc w:val="center"/>
        </w:trPr>
        <w:tc>
          <w:tcPr>
            <w:tcW w:w="835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4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418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704" w:type="dxa"/>
          </w:tcPr>
          <w:p w:rsidR="008D0ACB" w:rsidRPr="000B0419" w:rsidRDefault="008D0ACB" w:rsidP="0017056C">
            <w:pPr>
              <w:spacing w:before="120"/>
              <w:ind w:left="-284" w:right="-427"/>
              <w:rPr>
                <w:b/>
                <w:bCs/>
                <w:szCs w:val="22"/>
                <w:lang w:val="el-GR"/>
              </w:rPr>
            </w:pPr>
          </w:p>
        </w:tc>
      </w:tr>
    </w:tbl>
    <w:p w:rsidR="008D0ACB" w:rsidRDefault="008D0ACB" w:rsidP="008D0ACB">
      <w:pPr>
        <w:pStyle w:val="Standard"/>
        <w:ind w:left="-284" w:right="-427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8D0ACB" w:rsidRPr="009900F2" w:rsidRDefault="008D0ACB" w:rsidP="008D0ACB">
      <w:pPr>
        <w:pStyle w:val="Standard"/>
        <w:ind w:left="-284" w:right="-427"/>
        <w:jc w:val="both"/>
        <w:rPr>
          <w:rFonts w:ascii="Calibri" w:hAnsi="Calibri" w:cs="Calibri"/>
          <w:sz w:val="22"/>
          <w:szCs w:val="22"/>
          <w:u w:val="single"/>
        </w:rPr>
      </w:pPr>
      <w:r w:rsidRPr="009900F2">
        <w:rPr>
          <w:rFonts w:ascii="Calibri" w:hAnsi="Calibri" w:cs="Calibri"/>
          <w:sz w:val="22"/>
          <w:szCs w:val="22"/>
          <w:u w:val="single"/>
        </w:rPr>
        <w:t>Σημείωση:</w:t>
      </w:r>
    </w:p>
    <w:p w:rsidR="008D0ACB" w:rsidRPr="009900F2" w:rsidRDefault="008D0ACB" w:rsidP="008D0ACB">
      <w:pPr>
        <w:numPr>
          <w:ilvl w:val="0"/>
          <w:numId w:val="1"/>
        </w:numPr>
        <w:spacing w:after="200"/>
        <w:ind w:left="-284" w:right="-427"/>
        <w:contextualSpacing/>
        <w:rPr>
          <w:rFonts w:cs="Times New Roman"/>
          <w:bCs/>
          <w:lang w:val="el-GR"/>
        </w:rPr>
      </w:pPr>
      <w:r w:rsidRPr="009900F2">
        <w:rPr>
          <w:rFonts w:cs="Times New Roman"/>
          <w:szCs w:val="22"/>
          <w:lang w:val="el-GR"/>
        </w:rPr>
        <w:t>Αν οι παραλήπτες των έργων είναι φορείς του δημοσίου τομέα, οι παροχές των σχετικών υπηρεσιών αποδεικνύονται με έγγραφο που έχει εκδοθεί ή θεωρηθεί από την κατά περίπτωση Αναθέτουσα Αρχή. Εάν πρόκειται για ιδιωτικούς φορείς, με βεβαίωση του αποδέκτη ή εφόσον αυτό δεν είναι δυνατόν, με απλή δήλωση του οικονομικού φορέα. Σε κάθε περίπτωση απαιτείται έγγραφο που αναφέρεται σε επιτυχή ολοκλήρωση του έργου και όχι π.χ. η υπογραφείσα σύμβαση.</w:t>
      </w:r>
    </w:p>
    <w:p w:rsidR="008D0ACB" w:rsidRPr="00F11A4F" w:rsidRDefault="008D0ACB" w:rsidP="008D0ACB">
      <w:pPr>
        <w:numPr>
          <w:ilvl w:val="0"/>
          <w:numId w:val="1"/>
        </w:numPr>
        <w:spacing w:after="200"/>
        <w:ind w:left="-284" w:right="-427"/>
        <w:contextualSpacing/>
        <w:rPr>
          <w:rFonts w:cs="Times New Roman"/>
          <w:bCs/>
          <w:lang w:val="el-GR"/>
        </w:rPr>
      </w:pPr>
      <w:r w:rsidRPr="00F11A4F">
        <w:rPr>
          <w:rFonts w:cs="Times New Roman"/>
          <w:bCs/>
          <w:lang w:val="el-GR"/>
        </w:rPr>
        <w:t>Εάν ο υποψήφιος οικονομικός φορέας έχει υλοποιήσει το έργο ως μέλος Ένωσης ή Κοινοπραξίας προσκομίζει επιπρόσθετα και αντίγραφο του Συμφωνητικού ή οποιοδήποτε άλλο έγγραφο που να αποδεικνύει το ποσοστό συμμετοχής του.</w:t>
      </w:r>
    </w:p>
    <w:p w:rsidR="008D0ACB" w:rsidRDefault="008D0ACB" w:rsidP="008D0ACB">
      <w:pPr>
        <w:suppressAutoHyphens w:val="0"/>
        <w:spacing w:after="0"/>
        <w:ind w:left="-284" w:right="-427"/>
        <w:jc w:val="left"/>
        <w:rPr>
          <w:lang w:val="el-GR"/>
        </w:rPr>
      </w:pPr>
    </w:p>
    <w:p w:rsidR="008D0ACB" w:rsidRDefault="008D0ACB" w:rsidP="008D0ACB">
      <w:pPr>
        <w:pStyle w:val="normalwithoutspacing"/>
        <w:ind w:left="-284" w:right="-427"/>
      </w:pPr>
      <w:r w:rsidRPr="0046034E">
        <w:t>Ως στοιχείο τεκμηρίωσης για την αξία των έργων που αναφέρονται στον παραπάνω κατάλογο λαμβάνονται υπόψη συμβάσεις, τιμολόγια ή οποιοδήποτε άλλο έγγραφο που να αποδεικνύει την αξία των έργων</w:t>
      </w:r>
    </w:p>
    <w:p w:rsidR="008D0ACB" w:rsidRDefault="008D0ACB" w:rsidP="008D0ACB">
      <w:pPr>
        <w:spacing w:after="0"/>
        <w:ind w:left="-284" w:right="-427"/>
        <w:rPr>
          <w:i/>
          <w:color w:val="5B9BD5"/>
          <w:szCs w:val="22"/>
          <w:lang w:val="el-GR"/>
        </w:rPr>
      </w:pPr>
    </w:p>
    <w:p w:rsidR="00583E62" w:rsidRPr="008D0ACB" w:rsidRDefault="00583E62" w:rsidP="008D0ACB">
      <w:pPr>
        <w:rPr>
          <w:lang w:val="el-GR"/>
        </w:rPr>
      </w:pPr>
    </w:p>
    <w:sectPr w:rsidR="00583E62" w:rsidRPr="008D0A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95" w:rsidRDefault="00724295" w:rsidP="00512171">
      <w:pPr>
        <w:spacing w:after="0"/>
      </w:pPr>
      <w:r>
        <w:separator/>
      </w:r>
    </w:p>
  </w:endnote>
  <w:endnote w:type="continuationSeparator" w:id="0">
    <w:p w:rsidR="00724295" w:rsidRDefault="00724295" w:rsidP="005121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71" w:rsidRDefault="005121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71" w:rsidRDefault="0051217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71" w:rsidRDefault="005121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95" w:rsidRDefault="00724295" w:rsidP="00512171">
      <w:pPr>
        <w:spacing w:after="0"/>
      </w:pPr>
      <w:r>
        <w:separator/>
      </w:r>
    </w:p>
  </w:footnote>
  <w:footnote w:type="continuationSeparator" w:id="0">
    <w:p w:rsidR="00724295" w:rsidRDefault="00724295" w:rsidP="005121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71" w:rsidRDefault="005121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71" w:rsidRDefault="00512171" w:rsidP="00512171">
    <w:pPr>
      <w:pStyle w:val="a3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4" name="Πλαίσιο κειμένο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171" w:rsidRPr="00D11BB3" w:rsidRDefault="00512171" w:rsidP="0051217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4" o:spid="_x0000_s1026" type="#_x0000_t202" style="position:absolute;left:0;text-align:left;margin-left:153pt;margin-top:46.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C6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3CIESc1jKj72P3ovnSfr99337or1H3vvoLws/vU/equrj+g0DStbVQMvucN&#10;eOv1qVjD8G0DVHMmslcKcTEtCV/SEylFW1KSQ9K+8XRvuPY4yoAs2icih+hkpYUFWheyNh2FHiFA&#10;h+Fd7gZG1xplcHkYjIJRBKoMdINBEA7sRF0Sb70bqfQjKmpkhARLIIRFJxdnSptsSLw1McG4mLOq&#10;sqSo+K0LMOxvIDa4Gp3Jws74beRFs/FsHDphMJw5oZemzsl8GjrDuT8apIfpdJr670xcP4xLlueU&#10;mzBbvvnhn81zw/yeKTvGKVGx3MCZlJRcLqaVRBcE+D63n+05aPZm7u00bBOgljsl+UHonQaRMx+O&#10;R044DwdONPLGjudHp9HQC6Mwnd8u6Yxx+u8loTbB0SAY9GTaJ32nNs9+92sjcc00bJSK1Qke74xI&#10;bCg447kdrSas6uUbrTDp71sB494O2hLWcLRnq14v1oBiWLwQ+SVQVwpgFpAQ1iAIpZBvMGphpSRY&#10;vV4RSTGqHnOgv9k/W0FuhcVWIDwD1wRrjHpxqvs9tWokW5aA3D8wLk7giRTMsnefxeZhwZqwRWxW&#10;mtlDN/+t1X7xTn4DAAD//wMAUEsDBBQABgAIAAAAIQAiy4FG3wAAAAoBAAAPAAAAZHJzL2Rvd25y&#10;ZXYueG1sTI/BTsMwDIbvSLxDZCRuLNmGqq40nSYEJyREVw4c09ZrozVOabKtvD3mxE6W5U+/vz/f&#10;zm4QZ5yC9aRhuVAgkBrfWuo0fFavDymIEA21ZvCEGn4wwLa4vclN1voLlXjex05wCIXMaOhjHDMp&#10;Q9OjM2HhRyS+HfzkTOR16mQ7mQuHu0GulEqkM5b4Q29GfO6xOe5PTsPui8oX+/1ef5SH0lbVRtFb&#10;ctT6/m7ePYGIOMd/GP70WR0Kdqr9idogBg1rlXCXqGGz5slAulo+gqiZTJUCWeTyukLxCwAA//8D&#10;AFBLAQItABQABgAIAAAAIQC2gziS/gAAAOEBAAATAAAAAAAAAAAAAAAAAAAAAABbQ29udGVudF9U&#10;eXBlc10ueG1sUEsBAi0AFAAGAAgAAAAhADj9If/WAAAAlAEAAAsAAAAAAAAAAAAAAAAALwEAAF9y&#10;ZWxzLy5yZWxzUEsBAi0AFAAGAAgAAAAhAO6loLrXAgAAwAUAAA4AAAAAAAAAAAAAAAAALgIAAGRy&#10;cy9lMm9Eb2MueG1sUEsBAi0AFAAGAAgAAAAhACLLgUbfAAAACgEAAA8AAAAAAAAAAAAAAAAAMQUA&#10;AGRycy9kb3ducmV2LnhtbFBLBQYAAAAABAAEAPMAAAA9BgAAAAA=&#10;" filled="f" stroked="f">
              <v:textbox inset="0,0,0,0">
                <w:txbxContent>
                  <w:p w:rsidR="00512171" w:rsidRPr="00D11BB3" w:rsidRDefault="00512171" w:rsidP="0051217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902C4"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6902C4">
      <w:rPr>
        <w:noProof/>
        <w:lang w:val="el-GR" w:eastAsia="el-GR"/>
      </w:rPr>
      <w:drawing>
        <wp:inline distT="0" distB="0" distL="0" distR="0" wp14:anchorId="1AB1B5FE" wp14:editId="2E9F9A3F">
          <wp:extent cx="1447800" cy="86677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</w:p>
  <w:p w:rsidR="00512171" w:rsidRDefault="005121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71" w:rsidRDefault="005121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CB"/>
    <w:rsid w:val="00471982"/>
    <w:rsid w:val="00512171"/>
    <w:rsid w:val="00583E62"/>
    <w:rsid w:val="00724295"/>
    <w:rsid w:val="007273A2"/>
    <w:rsid w:val="008D0ACB"/>
    <w:rsid w:val="009C5322"/>
    <w:rsid w:val="00E1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86402B-9BCA-490D-9E08-C31A4A87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C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D0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8D0ACB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D0ACB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normalwithoutspacing">
    <w:name w:val="normal_without_spacing"/>
    <w:basedOn w:val="a"/>
    <w:rsid w:val="008D0ACB"/>
    <w:pPr>
      <w:spacing w:after="60"/>
    </w:pPr>
    <w:rPr>
      <w:lang w:val="el-GR"/>
    </w:rPr>
  </w:style>
  <w:style w:type="paragraph" w:customStyle="1" w:styleId="Standard">
    <w:name w:val="Standard"/>
    <w:rsid w:val="008D0A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1Char">
    <w:name w:val="Επικεφαλίδα 1 Char"/>
    <w:basedOn w:val="a0"/>
    <w:link w:val="1"/>
    <w:uiPriority w:val="9"/>
    <w:rsid w:val="008D0A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  <w:style w:type="paragraph" w:styleId="a3">
    <w:name w:val="header"/>
    <w:basedOn w:val="a"/>
    <w:link w:val="Char"/>
    <w:unhideWhenUsed/>
    <w:rsid w:val="00512171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rsid w:val="00512171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51217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512171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F4E1EC6-D008-4A03-B2BE-3799FF538E4A}"/>
</file>

<file path=customXml/itemProps2.xml><?xml version="1.0" encoding="utf-8"?>
<ds:datastoreItem xmlns:ds="http://schemas.openxmlformats.org/officeDocument/2006/customXml" ds:itemID="{E350F4DB-E427-4635-ABBF-3AB5B6CEA412}"/>
</file>

<file path=customXml/itemProps3.xml><?xml version="1.0" encoding="utf-8"?>
<ds:datastoreItem xmlns:ds="http://schemas.openxmlformats.org/officeDocument/2006/customXml" ds:itemID="{4991BAA1-5FE7-43A8-B007-299262FE0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 – Πίνακας Παραδόσεων/Υπηρεσιών</dc:title>
  <dc:subject/>
  <dc:creator>Maria</dc:creator>
  <cp:keywords/>
  <dc:description/>
  <cp:lastModifiedBy>Maria</cp:lastModifiedBy>
  <cp:revision>4</cp:revision>
  <dcterms:created xsi:type="dcterms:W3CDTF">2022-01-31T10:25:00Z</dcterms:created>
  <dcterms:modified xsi:type="dcterms:W3CDTF">2022-01-31T11:14:00Z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